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7122FE" w:rsidP="00E835D0">
            <w:pPr>
              <w:rPr>
                <w:b/>
              </w:rPr>
            </w:pPr>
            <w:proofErr w:type="spellStart"/>
            <w:r>
              <w:t>Lavoro</w:t>
            </w:r>
            <w:proofErr w:type="spellEnd"/>
            <w:r>
              <w:t xml:space="preserve"> </w:t>
            </w:r>
            <w:proofErr w:type="spellStart"/>
            <w:r>
              <w:t>sul</w:t>
            </w:r>
            <w:proofErr w:type="spellEnd"/>
            <w:r>
              <w:t xml:space="preserve"> campo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D25DD" w:rsidP="00E63C69">
            <w:r>
              <w:t>18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D25DD" w:rsidP="00E63C69">
            <w:r>
              <w:t>28 / 45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0D25DD" w:rsidRDefault="000D25DD" w:rsidP="000D25DD">
            <w:r>
              <w:t>-</w:t>
            </w:r>
            <w:r w:rsidR="00575DC1">
              <w:t xml:space="preserve"> </w:t>
            </w:r>
            <w:proofErr w:type="spellStart"/>
            <w:r w:rsidR="007122FE">
              <w:t>monitoraggio</w:t>
            </w:r>
            <w:proofErr w:type="spellEnd"/>
            <w:r w:rsidR="007122FE">
              <w:t xml:space="preserve"> </w:t>
            </w:r>
            <w:proofErr w:type="spellStart"/>
            <w:r w:rsidR="007122FE">
              <w:t>dell’energia</w:t>
            </w:r>
            <w:proofErr w:type="spellEnd"/>
          </w:p>
          <w:p w:rsidR="000D25DD" w:rsidRDefault="007122FE" w:rsidP="000D25DD">
            <w:r>
              <w:t xml:space="preserve">- </w:t>
            </w:r>
            <w:proofErr w:type="spellStart"/>
            <w:r>
              <w:t>Politica</w:t>
            </w:r>
            <w:proofErr w:type="spellEnd"/>
            <w:r>
              <w:t xml:space="preserve"> </w:t>
            </w:r>
            <w:proofErr w:type="spellStart"/>
            <w:r>
              <w:t>energetica</w:t>
            </w:r>
            <w:proofErr w:type="spellEnd"/>
          </w:p>
          <w:p w:rsidR="000D25DD" w:rsidRDefault="000D25DD" w:rsidP="000D25DD">
            <w:r>
              <w:t xml:space="preserve">- </w:t>
            </w:r>
            <w:r w:rsidR="007122FE">
              <w:t xml:space="preserve">Piano di </w:t>
            </w:r>
            <w:proofErr w:type="spellStart"/>
            <w:r w:rsidR="007122FE">
              <w:t>gestione</w:t>
            </w:r>
            <w:proofErr w:type="spellEnd"/>
            <w:r w:rsidR="007122FE">
              <w:t xml:space="preserve"> </w:t>
            </w:r>
            <w:proofErr w:type="spellStart"/>
            <w:r w:rsidR="007122FE">
              <w:t>dell’energia</w:t>
            </w:r>
            <w:proofErr w:type="spellEnd"/>
          </w:p>
          <w:p w:rsidR="000D25DD" w:rsidRDefault="000D25DD" w:rsidP="000D25DD">
            <w:r>
              <w:t xml:space="preserve">- </w:t>
            </w:r>
            <w:r w:rsidR="007122FE">
              <w:t xml:space="preserve">Team per la </w:t>
            </w:r>
            <w:proofErr w:type="spellStart"/>
            <w:r w:rsidR="007122FE">
              <w:t>gestione</w:t>
            </w:r>
            <w:proofErr w:type="spellEnd"/>
            <w:r w:rsidR="007122FE">
              <w:t xml:space="preserve"> </w:t>
            </w:r>
            <w:proofErr w:type="spellStart"/>
            <w:r w:rsidR="007122FE">
              <w:t>dell’energia</w:t>
            </w:r>
            <w:proofErr w:type="spellEnd"/>
          </w:p>
          <w:p w:rsidR="000D25DD" w:rsidRDefault="000D25DD" w:rsidP="000D25DD">
            <w:r>
              <w:t xml:space="preserve">- </w:t>
            </w:r>
            <w:proofErr w:type="spellStart"/>
            <w:r w:rsidR="007122FE">
              <w:t>controlli</w:t>
            </w:r>
            <w:proofErr w:type="spellEnd"/>
            <w:r w:rsidR="007122FE">
              <w:t xml:space="preserve"> </w:t>
            </w:r>
            <w:proofErr w:type="spellStart"/>
            <w:r w:rsidR="007122FE">
              <w:t>operativi</w:t>
            </w:r>
            <w:proofErr w:type="spellEnd"/>
          </w:p>
          <w:p w:rsidR="000D25DD" w:rsidRDefault="007122FE" w:rsidP="000D25DD">
            <w:r>
              <w:t xml:space="preserve">- Baseline </w:t>
            </w:r>
            <w:proofErr w:type="spellStart"/>
            <w:r>
              <w:t>energetica</w:t>
            </w:r>
            <w:proofErr w:type="spellEnd"/>
          </w:p>
          <w:p w:rsidR="000D25DD" w:rsidRDefault="000D25DD" w:rsidP="000D25DD">
            <w:r>
              <w:t xml:space="preserve">- </w:t>
            </w:r>
            <w:proofErr w:type="spellStart"/>
            <w:r w:rsidR="007122FE">
              <w:t>indicatori</w:t>
            </w:r>
            <w:proofErr w:type="spellEnd"/>
            <w:r w:rsidR="007122FE">
              <w:t xml:space="preserve"> </w:t>
            </w:r>
            <w:proofErr w:type="spellStart"/>
            <w:r w:rsidR="007122FE">
              <w:t>della</w:t>
            </w:r>
            <w:proofErr w:type="spellEnd"/>
            <w:r w:rsidR="007122FE">
              <w:t xml:space="preserve"> performance </w:t>
            </w:r>
            <w:proofErr w:type="spellStart"/>
            <w:r w:rsidR="007122FE">
              <w:t>energetica</w:t>
            </w:r>
            <w:proofErr w:type="spellEnd"/>
          </w:p>
          <w:p w:rsidR="000D25DD" w:rsidRDefault="000D25DD" w:rsidP="000D25DD">
            <w:r>
              <w:t xml:space="preserve">- </w:t>
            </w:r>
            <w:proofErr w:type="spellStart"/>
            <w:r w:rsidR="007122FE">
              <w:t>obiettivi</w:t>
            </w:r>
            <w:proofErr w:type="spellEnd"/>
            <w:r w:rsidR="007122FE">
              <w:t xml:space="preserve"> e target </w:t>
            </w:r>
            <w:proofErr w:type="spellStart"/>
            <w:r w:rsidR="007122FE">
              <w:t>energetici</w:t>
            </w:r>
            <w:proofErr w:type="spellEnd"/>
          </w:p>
          <w:p w:rsidR="000D25DD" w:rsidRDefault="000D25DD" w:rsidP="000D25DD">
            <w:r>
              <w:t xml:space="preserve">- </w:t>
            </w:r>
            <w:r w:rsidR="007122FE">
              <w:t xml:space="preserve">Piano operative per </w:t>
            </w:r>
            <w:proofErr w:type="spellStart"/>
            <w:r w:rsidR="007122FE">
              <w:t>l’energia</w:t>
            </w:r>
            <w:proofErr w:type="spellEnd"/>
          </w:p>
          <w:p w:rsidR="00E63C69" w:rsidRPr="00E63C69" w:rsidRDefault="000D25DD" w:rsidP="007122FE">
            <w:pPr>
              <w:rPr>
                <w:b/>
              </w:rPr>
            </w:pPr>
            <w:r>
              <w:t xml:space="preserve">- </w:t>
            </w:r>
            <w:proofErr w:type="spellStart"/>
            <w:r w:rsidR="007122FE">
              <w:t>Programma</w:t>
            </w:r>
            <w:proofErr w:type="spellEnd"/>
            <w:r w:rsidR="007122FE">
              <w:t xml:space="preserve"> per </w:t>
            </w:r>
            <w:proofErr w:type="spellStart"/>
            <w:r w:rsidR="007122FE">
              <w:t>il</w:t>
            </w:r>
            <w:proofErr w:type="spellEnd"/>
            <w:r w:rsidR="007122FE">
              <w:t xml:space="preserve"> </w:t>
            </w:r>
            <w:proofErr w:type="spellStart"/>
            <w:r w:rsidR="007122FE">
              <w:t>trasferimento</w:t>
            </w:r>
            <w:proofErr w:type="spellEnd"/>
            <w:r w:rsidR="007122FE">
              <w:t xml:space="preserve"> </w:t>
            </w:r>
            <w:proofErr w:type="spellStart"/>
            <w:r w:rsidR="007122FE">
              <w:t>delle</w:t>
            </w:r>
            <w:proofErr w:type="spellEnd"/>
            <w:r w:rsidR="007122FE">
              <w:t xml:space="preserve"> </w:t>
            </w:r>
            <w:proofErr w:type="spellStart"/>
            <w:r w:rsidR="007122FE">
              <w:t>conoscenze</w:t>
            </w:r>
            <w:proofErr w:type="spellEnd"/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7122FE" w:rsidP="007122FE">
            <w:proofErr w:type="spellStart"/>
            <w:r>
              <w:t>Utilizzare</w:t>
            </w:r>
            <w:proofErr w:type="spellEnd"/>
            <w:r>
              <w:t xml:space="preserve"> </w:t>
            </w:r>
            <w:proofErr w:type="spellStart"/>
            <w:r>
              <w:t>tutti</w:t>
            </w:r>
            <w:proofErr w:type="spellEnd"/>
            <w:r>
              <w:t xml:space="preserve"> I </w:t>
            </w:r>
            <w:proofErr w:type="spellStart"/>
            <w:r>
              <w:t>materiali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moduli 1, 2 e 3 per </w:t>
            </w:r>
            <w:proofErr w:type="spellStart"/>
            <w:r>
              <w:t>sviluppare</w:t>
            </w:r>
            <w:proofErr w:type="spellEnd"/>
            <w:r>
              <w:t xml:space="preserve"> </w:t>
            </w:r>
            <w:proofErr w:type="spellStart"/>
            <w:r>
              <w:t>uno</w:t>
            </w:r>
            <w:proofErr w:type="spellEnd"/>
            <w:r>
              <w:t xml:space="preserve"> </w:t>
            </w:r>
            <w:proofErr w:type="spellStart"/>
            <w:r>
              <w:t>EnMS</w:t>
            </w:r>
            <w:proofErr w:type="spellEnd"/>
            <w:r>
              <w:t xml:space="preserve"> </w:t>
            </w:r>
            <w:proofErr w:type="spellStart"/>
            <w:r>
              <w:t>all’interno</w:t>
            </w:r>
            <w:proofErr w:type="spellEnd"/>
            <w:r>
              <w:t xml:space="preserve"> di </w:t>
            </w:r>
            <w:proofErr w:type="spellStart"/>
            <w:r>
              <w:t>una</w:t>
            </w:r>
            <w:proofErr w:type="spellEnd"/>
            <w:r>
              <w:t xml:space="preserve"> data </w:t>
            </w:r>
            <w:proofErr w:type="spellStart"/>
            <w:r>
              <w:t>organizzazione</w:t>
            </w:r>
            <w:proofErr w:type="spellEnd"/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575DC1" w:rsidRPr="003B1BE2" w:rsidRDefault="007122FE" w:rsidP="007122FE">
            <w:r>
              <w:t xml:space="preserve">I </w:t>
            </w:r>
            <w:proofErr w:type="spellStart"/>
            <w:r>
              <w:t>discenti</w:t>
            </w:r>
            <w:proofErr w:type="spellEnd"/>
            <w:r>
              <w:t xml:space="preserve"> </w:t>
            </w:r>
            <w:proofErr w:type="spellStart"/>
            <w:r>
              <w:t>sapranno</w:t>
            </w:r>
            <w:proofErr w:type="spellEnd"/>
            <w:r>
              <w:t xml:space="preserve"> </w:t>
            </w:r>
            <w:proofErr w:type="spellStart"/>
            <w:r>
              <w:t>mettere</w:t>
            </w:r>
            <w:proofErr w:type="spellEnd"/>
            <w:r>
              <w:t xml:space="preserve"> in </w:t>
            </w:r>
            <w:proofErr w:type="spellStart"/>
            <w:r>
              <w:t>pratica</w:t>
            </w:r>
            <w:proofErr w:type="spellEnd"/>
            <w:r>
              <w:t xml:space="preserve"> </w:t>
            </w:r>
            <w:proofErr w:type="spellStart"/>
            <w:r>
              <w:t>tutto</w:t>
            </w:r>
            <w:proofErr w:type="spellEnd"/>
            <w:r>
              <w:t xml:space="preserve"> </w:t>
            </w:r>
            <w:proofErr w:type="spellStart"/>
            <w:r>
              <w:t>quello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hanno</w:t>
            </w:r>
            <w:proofErr w:type="spellEnd"/>
            <w:r>
              <w:t xml:space="preserve"> </w:t>
            </w:r>
            <w:proofErr w:type="spellStart"/>
            <w:r>
              <w:t>imparato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Corso IV in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situazione</w:t>
            </w:r>
            <w:proofErr w:type="spellEnd"/>
            <w:r>
              <w:t xml:space="preserve"> </w:t>
            </w:r>
            <w:proofErr w:type="spellStart"/>
            <w:r>
              <w:t>reale</w:t>
            </w:r>
            <w:proofErr w:type="spellEnd"/>
            <w:r w:rsidR="000D25DD">
              <w:t>.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F061AA" w:rsidRDefault="007122FE" w:rsidP="007B3C06">
            <w:pPr>
              <w:rPr>
                <w:b/>
              </w:rPr>
            </w:pPr>
            <w:proofErr w:type="spellStart"/>
            <w:r>
              <w:rPr>
                <w:b/>
              </w:rPr>
              <w:t>Presentazione</w:t>
            </w:r>
            <w:proofErr w:type="spellEnd"/>
          </w:p>
          <w:p w:rsidR="007B3C06" w:rsidRPr="007B3C06" w:rsidRDefault="007122FE" w:rsidP="007122FE">
            <w:hyperlink r:id="rId7" w:history="1">
              <w:r w:rsidR="000D25DD" w:rsidRPr="000D25DD">
                <w:rPr>
                  <w:rStyle w:val="Collegamentoipertestuale"/>
                </w:rPr>
                <w:t>Field Work</w:t>
              </w:r>
            </w:hyperlink>
            <w:r w:rsidR="00F061AA">
              <w:t xml:space="preserve"> </w:t>
            </w:r>
            <w:r>
              <w:t xml:space="preserve">in </w:t>
            </w:r>
            <w:proofErr w:type="spellStart"/>
            <w:r>
              <w:t>formato</w:t>
            </w:r>
            <w:proofErr w:type="spellEnd"/>
            <w:r>
              <w:t xml:space="preserve"> online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0D25DD" w:rsidRDefault="007122FE" w:rsidP="000D25D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Documenti</w:t>
            </w:r>
            <w:proofErr w:type="spellEnd"/>
          </w:p>
          <w:p w:rsidR="000D25DD" w:rsidRPr="000D25DD" w:rsidRDefault="007122FE" w:rsidP="000D25DD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0D25DD" w:rsidRPr="000D25DD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ISO 50001 Case Study - Aviva Stadium</w:t>
              </w:r>
            </w:hyperlink>
          </w:p>
          <w:p w:rsidR="000D25DD" w:rsidRPr="000D25DD" w:rsidRDefault="007122FE" w:rsidP="000D25DD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0D25DD" w:rsidRPr="000D25DD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Simulation to Support ISO 50001 Energy Management systems and Fault Detection and Diagnosis: Case Study of Malpensa Airport, CONFERENCE PAPER · AUGUST 2013</w:t>
              </w:r>
            </w:hyperlink>
          </w:p>
          <w:p w:rsidR="00784179" w:rsidRPr="000D25DD" w:rsidRDefault="007122FE" w:rsidP="000D25DD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color w:val="0000FF" w:themeColor="hyperlink"/>
                <w:u w:val="single"/>
              </w:rPr>
            </w:pPr>
            <w:hyperlink r:id="rId10" w:history="1">
              <w:r w:rsidR="000D25DD" w:rsidRPr="000D25DD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Energy Management in Large Enterprises: A Field Study</w:t>
              </w:r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0D25D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7B3C06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7122FE" w:rsidP="007122FE">
            <w:r>
              <w:t xml:space="preserve">Si </w:t>
            </w:r>
            <w:proofErr w:type="spellStart"/>
            <w:r>
              <w:t>chiederà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discenti</w:t>
            </w:r>
            <w:proofErr w:type="spellEnd"/>
            <w:r>
              <w:t xml:space="preserve"> di </w:t>
            </w:r>
            <w:proofErr w:type="spellStart"/>
            <w:r>
              <w:t>preparare</w:t>
            </w:r>
            <w:proofErr w:type="spellEnd"/>
            <w:r>
              <w:t xml:space="preserve"> la </w:t>
            </w:r>
            <w:proofErr w:type="spellStart"/>
            <w:r>
              <w:t>documentazione</w:t>
            </w:r>
            <w:proofErr w:type="spellEnd"/>
            <w:r>
              <w:t xml:space="preserve"> </w:t>
            </w:r>
            <w:proofErr w:type="spellStart"/>
            <w:r>
              <w:t>necessaria</w:t>
            </w:r>
            <w:proofErr w:type="spellEnd"/>
            <w:r>
              <w:t xml:space="preserve">, report di </w:t>
            </w:r>
            <w:proofErr w:type="spellStart"/>
            <w:r>
              <w:t>analisi</w:t>
            </w:r>
            <w:proofErr w:type="spellEnd"/>
            <w:r>
              <w:t xml:space="preserve">, </w:t>
            </w:r>
            <w:proofErr w:type="spellStart"/>
            <w:r>
              <w:t>strumenti</w:t>
            </w:r>
            <w:proofErr w:type="spellEnd"/>
            <w:r>
              <w:t xml:space="preserve"> per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monitoraggio</w:t>
            </w:r>
            <w:proofErr w:type="spellEnd"/>
            <w:r>
              <w:t xml:space="preserve">, </w:t>
            </w:r>
            <w:proofErr w:type="spellStart"/>
            <w:r>
              <w:t>programmi</w:t>
            </w:r>
            <w:proofErr w:type="spellEnd"/>
            <w:r>
              <w:t xml:space="preserve"> di </w:t>
            </w:r>
            <w:proofErr w:type="spellStart"/>
            <w:r>
              <w:t>trasferimento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conoscenze</w:t>
            </w:r>
            <w:proofErr w:type="spellEnd"/>
            <w:r>
              <w:t xml:space="preserve"> e </w:t>
            </w:r>
            <w:proofErr w:type="spellStart"/>
            <w:r>
              <w:t>programmi</w:t>
            </w:r>
            <w:proofErr w:type="spellEnd"/>
            <w:r>
              <w:t xml:space="preserve"> </w:t>
            </w:r>
            <w:proofErr w:type="spellStart"/>
            <w:r>
              <w:t>orari</w:t>
            </w:r>
            <w:proofErr w:type="spellEnd"/>
            <w:r>
              <w:t xml:space="preserve"> per la </w:t>
            </w:r>
            <w:proofErr w:type="spellStart"/>
            <w:r>
              <w:t>messa</w:t>
            </w:r>
            <w:proofErr w:type="spellEnd"/>
            <w:r>
              <w:t xml:space="preserve"> in opera di </w:t>
            </w:r>
            <w:proofErr w:type="spellStart"/>
            <w:r>
              <w:t>uno</w:t>
            </w:r>
            <w:proofErr w:type="spellEnd"/>
            <w:r>
              <w:t xml:space="preserve"> </w:t>
            </w:r>
            <w:proofErr w:type="spellStart"/>
            <w:r>
              <w:t>EnMS</w:t>
            </w:r>
            <w:proofErr w:type="spellEnd"/>
            <w:r>
              <w:t xml:space="preserve"> in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scuola</w:t>
            </w:r>
            <w:proofErr w:type="spellEnd"/>
          </w:p>
        </w:tc>
      </w:tr>
      <w:tr w:rsidR="00064A21" w:rsidRPr="003B1BE2" w:rsidTr="007B3C06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465D23" w:rsidRDefault="007122FE" w:rsidP="000D25DD">
            <w:pPr>
              <w:pStyle w:val="Normale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fine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questo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modulo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dicenti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sapranno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mettere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realizzare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le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seguenti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operazioni</w:t>
            </w:r>
            <w:proofErr w:type="spellEnd"/>
            <w:r w:rsidR="000D25DD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7122FE" w:rsidRPr="007122FE" w:rsidRDefault="000D25DD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 xml:space="preserve">- </w:t>
            </w:r>
            <w:proofErr w:type="spellStart"/>
            <w:r w:rsidR="007122FE" w:rsidRPr="007122FE">
              <w:rPr>
                <w:rFonts w:ascii="Calibri" w:hAnsi="Calibri" w:cs="Arial"/>
                <w:iCs/>
                <w:sz w:val="24"/>
                <w:szCs w:val="24"/>
              </w:rPr>
              <w:t>Politica</w:t>
            </w:r>
            <w:proofErr w:type="spellEnd"/>
            <w:r w:rsidR="007122FE"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="007122FE" w:rsidRPr="007122FE">
              <w:rPr>
                <w:rFonts w:ascii="Calibri" w:hAnsi="Calibri" w:cs="Arial"/>
                <w:iCs/>
                <w:sz w:val="24"/>
                <w:szCs w:val="24"/>
              </w:rPr>
              <w:t>energetica</w:t>
            </w:r>
            <w:proofErr w:type="spellEnd"/>
          </w:p>
          <w:p w:rsidR="007122FE" w:rsidRPr="007122FE" w:rsidRDefault="007122FE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Piano di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gestione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dell’energia</w:t>
            </w:r>
            <w:proofErr w:type="spellEnd"/>
          </w:p>
          <w:p w:rsidR="007122FE" w:rsidRPr="007122FE" w:rsidRDefault="007122FE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Team per la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gestione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dell’energia</w:t>
            </w:r>
            <w:proofErr w:type="spellEnd"/>
          </w:p>
          <w:p w:rsidR="007122FE" w:rsidRPr="007122FE" w:rsidRDefault="007122FE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controlli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operativi</w:t>
            </w:r>
            <w:proofErr w:type="spellEnd"/>
          </w:p>
          <w:p w:rsidR="007122FE" w:rsidRPr="007122FE" w:rsidRDefault="007122FE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Baseline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energetica</w:t>
            </w:r>
            <w:proofErr w:type="spellEnd"/>
          </w:p>
          <w:p w:rsidR="007122FE" w:rsidRPr="007122FE" w:rsidRDefault="007122FE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indicatori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della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performance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energetica</w:t>
            </w:r>
            <w:proofErr w:type="spellEnd"/>
          </w:p>
          <w:p w:rsidR="007122FE" w:rsidRPr="007122FE" w:rsidRDefault="007122FE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obiettivi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e target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energetici</w:t>
            </w:r>
            <w:proofErr w:type="spellEnd"/>
          </w:p>
          <w:p w:rsidR="007122FE" w:rsidRPr="007122FE" w:rsidRDefault="007122FE" w:rsidP="007122F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Piano operative per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l’energia</w:t>
            </w:r>
            <w:proofErr w:type="spellEnd"/>
          </w:p>
          <w:p w:rsidR="00AE75E0" w:rsidRPr="000D25DD" w:rsidRDefault="007122FE" w:rsidP="007122FE">
            <w:pPr>
              <w:pStyle w:val="Normale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-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Programma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per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il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trasferimento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delle</w:t>
            </w:r>
            <w:proofErr w:type="spellEnd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7122FE">
              <w:rPr>
                <w:rFonts w:ascii="Calibri" w:hAnsi="Calibri" w:cs="Arial"/>
                <w:iCs/>
                <w:sz w:val="24"/>
                <w:szCs w:val="24"/>
              </w:rPr>
              <w:t>conoscenze</w:t>
            </w:r>
            <w:proofErr w:type="spellEnd"/>
          </w:p>
        </w:tc>
      </w:tr>
      <w:tr w:rsidR="006D62CC" w:rsidRPr="003B1BE2" w:rsidTr="007B3C0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7122FE" w:rsidP="00E27D7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dell’esercitazione</w:t>
            </w:r>
            <w:bookmarkStart w:id="0" w:name="_GoBack"/>
            <w:bookmarkEnd w:id="0"/>
            <w:r w:rsidR="00465D23">
              <w:rPr>
                <w:rFonts w:ascii="Calibri" w:hAnsi="Calibri" w:cs="Arial"/>
                <w:iCs/>
                <w:sz w:val="24"/>
                <w:szCs w:val="24"/>
              </w:rPr>
              <w:t>.</w:t>
            </w:r>
          </w:p>
        </w:tc>
      </w:tr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0EFD"/>
    <w:rsid w:val="000B53CC"/>
    <w:rsid w:val="000D25DD"/>
    <w:rsid w:val="00102854"/>
    <w:rsid w:val="00104E02"/>
    <w:rsid w:val="001C5A44"/>
    <w:rsid w:val="00325400"/>
    <w:rsid w:val="00356F53"/>
    <w:rsid w:val="003B1BE2"/>
    <w:rsid w:val="00465D23"/>
    <w:rsid w:val="00485521"/>
    <w:rsid w:val="00487A42"/>
    <w:rsid w:val="004A61F2"/>
    <w:rsid w:val="004B4A0C"/>
    <w:rsid w:val="0052453A"/>
    <w:rsid w:val="00537FA7"/>
    <w:rsid w:val="00542747"/>
    <w:rsid w:val="00575DC1"/>
    <w:rsid w:val="005B19D9"/>
    <w:rsid w:val="006D62CC"/>
    <w:rsid w:val="007122FE"/>
    <w:rsid w:val="0077183D"/>
    <w:rsid w:val="00784179"/>
    <w:rsid w:val="007B3C06"/>
    <w:rsid w:val="00835F46"/>
    <w:rsid w:val="00841C04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E835D0"/>
    <w:rsid w:val="00F061AA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575D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B3C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575D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pulse/iso-5001-case-study-aviva-stadium-adam-faughnan?trk=seokp_posts_primary_cluster_res_titl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ropbox.com/home/EPOQUE%20project/epoque_o5/Course%20IV/Module%204?preview=%5B4.4.001%5D+O5_EnMS_CourseIV_Module4.ppt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dropbox.com/home/EPOQUE%20project/epoque_o5/Course%20IV/Module%204?preview=%5B4.4.004%5D+CEL09-01-EM-in-Large-Enterprise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dropbox.com/home/EPOQUE%20project/epoque_o5/Course%20IV/Module%204?preview=%5B4.4.003%5D+Malpensa_airport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81077-D38A-4F2A-982C-D7AF19AC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2</cp:revision>
  <dcterms:created xsi:type="dcterms:W3CDTF">2016-06-28T15:03:00Z</dcterms:created>
  <dcterms:modified xsi:type="dcterms:W3CDTF">2016-06-28T15:03:00Z</dcterms:modified>
</cp:coreProperties>
</file>