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A21" w:rsidRPr="000B53CC" w:rsidRDefault="00064A21">
      <w:pPr>
        <w:rPr>
          <w:b/>
          <w:color w:val="244061"/>
        </w:rPr>
      </w:pPr>
      <w:bookmarkStart w:id="0" w:name="_GoBack"/>
      <w:bookmarkEnd w:id="0"/>
    </w:p>
    <w:tbl>
      <w:tblPr>
        <w:tblW w:w="85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61"/>
        <w:gridCol w:w="6955"/>
      </w:tblGrid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C41182">
            <w:pPr>
              <w:spacing w:line="276" w:lineRule="auto"/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Title</w:t>
            </w:r>
          </w:p>
        </w:tc>
        <w:tc>
          <w:tcPr>
            <w:tcW w:w="5714" w:type="dxa"/>
            <w:shd w:val="clear" w:color="auto" w:fill="auto"/>
          </w:tcPr>
          <w:p w:rsidR="00E27D7C" w:rsidRPr="00E27D7C" w:rsidRDefault="004B676F" w:rsidP="00E63C69">
            <w:pPr>
              <w:rPr>
                <w:b/>
              </w:rPr>
            </w:pPr>
            <w:r>
              <w:t>Complex system</w:t>
            </w: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C41182">
            <w:pPr>
              <w:spacing w:line="276" w:lineRule="auto"/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Duration (in weeks)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8905ED" w:rsidP="00E63C69">
            <w:r>
              <w:t>1</w:t>
            </w: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C41182">
            <w:pPr>
              <w:spacing w:line="276" w:lineRule="auto"/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Starting / ending week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4A61F2" w:rsidP="00E63C69"/>
        </w:tc>
      </w:tr>
      <w:tr w:rsidR="00AC641D" w:rsidRPr="003B1BE2" w:rsidTr="003B1BE2">
        <w:tc>
          <w:tcPr>
            <w:tcW w:w="2802" w:type="dxa"/>
            <w:shd w:val="clear" w:color="auto" w:fill="auto"/>
          </w:tcPr>
          <w:p w:rsidR="00AC641D" w:rsidRPr="000B53CC" w:rsidRDefault="006D62CC" w:rsidP="00C41182">
            <w:pPr>
              <w:spacing w:line="276" w:lineRule="auto"/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Key C</w:t>
            </w:r>
            <w:r w:rsidR="00AC641D" w:rsidRPr="000B53CC">
              <w:rPr>
                <w:b/>
                <w:color w:val="244061"/>
              </w:rPr>
              <w:t xml:space="preserve">oncepts and </w:t>
            </w:r>
            <w:r>
              <w:rPr>
                <w:b/>
                <w:color w:val="244061"/>
              </w:rPr>
              <w:t>I</w:t>
            </w:r>
            <w:r w:rsidR="00AC641D" w:rsidRPr="000B53CC">
              <w:rPr>
                <w:b/>
                <w:color w:val="244061"/>
              </w:rPr>
              <w:t>ssues</w:t>
            </w:r>
          </w:p>
          <w:p w:rsidR="00AC641D" w:rsidRPr="000B53CC" w:rsidRDefault="00AC641D" w:rsidP="00C41182">
            <w:pPr>
              <w:spacing w:line="276" w:lineRule="auto"/>
              <w:rPr>
                <w:b/>
                <w:color w:val="244061"/>
              </w:rPr>
            </w:pPr>
          </w:p>
        </w:tc>
        <w:tc>
          <w:tcPr>
            <w:tcW w:w="5714" w:type="dxa"/>
            <w:shd w:val="clear" w:color="auto" w:fill="auto"/>
          </w:tcPr>
          <w:p w:rsidR="00E63C69" w:rsidRPr="00C41182" w:rsidRDefault="00C41182" w:rsidP="00C41182">
            <w:pPr>
              <w:spacing w:line="240" w:lineRule="auto"/>
            </w:pPr>
            <w:r w:rsidRPr="00C41182">
              <w:t>Interacting parts</w:t>
            </w:r>
            <w:r>
              <w:t xml:space="preserve">, environmental issues, </w:t>
            </w:r>
            <w:proofErr w:type="spellStart"/>
            <w:r>
              <w:t>transdisciplinary</w:t>
            </w:r>
            <w:proofErr w:type="spellEnd"/>
            <w:r>
              <w:t xml:space="preserve"> approach</w:t>
            </w:r>
          </w:p>
        </w:tc>
      </w:tr>
      <w:tr w:rsidR="00AC641D" w:rsidRPr="003B1BE2" w:rsidTr="003B1BE2">
        <w:tc>
          <w:tcPr>
            <w:tcW w:w="2802" w:type="dxa"/>
            <w:shd w:val="clear" w:color="auto" w:fill="auto"/>
          </w:tcPr>
          <w:p w:rsidR="00AC641D" w:rsidRPr="000B53CC" w:rsidRDefault="00CB2FAB" w:rsidP="00C41182">
            <w:pPr>
              <w:spacing w:line="276" w:lineRule="auto"/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Intended</w:t>
            </w:r>
            <w:r w:rsidR="006D62CC">
              <w:rPr>
                <w:b/>
                <w:color w:val="244061"/>
              </w:rPr>
              <w:t xml:space="preserve"> Purpose</w:t>
            </w:r>
          </w:p>
        </w:tc>
        <w:tc>
          <w:tcPr>
            <w:tcW w:w="5714" w:type="dxa"/>
            <w:shd w:val="clear" w:color="auto" w:fill="auto"/>
          </w:tcPr>
          <w:p w:rsidR="003B1BE2" w:rsidRDefault="007B43DD" w:rsidP="007B43DD">
            <w:pPr>
              <w:spacing w:line="240" w:lineRule="auto"/>
            </w:pPr>
            <w:r w:rsidRPr="004C019C">
              <w:t>Presentation to the complex systems approach with reference to its meaning and value for the analysis of environmental issues.</w:t>
            </w:r>
            <w:r>
              <w:t xml:space="preserve"> </w:t>
            </w:r>
            <w:r w:rsidRPr="004C019C">
              <w:t>Discussion of the idea of complex system in relation with its application to economic and social sciences.</w:t>
            </w:r>
          </w:p>
          <w:p w:rsidR="007B43DD" w:rsidRPr="003B1BE2" w:rsidRDefault="007B43DD" w:rsidP="007B43DD">
            <w:pPr>
              <w:spacing w:line="240" w:lineRule="auto"/>
            </w:pP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C41182">
            <w:pPr>
              <w:spacing w:line="276" w:lineRule="auto"/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Learning Outcomes</w:t>
            </w:r>
          </w:p>
        </w:tc>
        <w:tc>
          <w:tcPr>
            <w:tcW w:w="5714" w:type="dxa"/>
            <w:shd w:val="clear" w:color="auto" w:fill="auto"/>
          </w:tcPr>
          <w:p w:rsidR="007B43DD" w:rsidRPr="007A65D1" w:rsidRDefault="007B43DD" w:rsidP="007B43DD">
            <w:r w:rsidRPr="007A65D1">
              <w:t>By the end of this module learners will be able:</w:t>
            </w:r>
          </w:p>
          <w:p w:rsidR="004A61F2" w:rsidRDefault="007B43DD" w:rsidP="004A61F2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 w:rsidRPr="007A65D1">
              <w:t>to adopt a complex system approach to environmental education involving science, economic and social science</w:t>
            </w:r>
          </w:p>
          <w:p w:rsidR="007B43DD" w:rsidRPr="003B1BE2" w:rsidRDefault="007B43DD" w:rsidP="007B43DD">
            <w:pPr>
              <w:pStyle w:val="ListParagraph"/>
              <w:spacing w:after="0" w:line="240" w:lineRule="auto"/>
            </w:pPr>
          </w:p>
        </w:tc>
      </w:tr>
      <w:tr w:rsidR="008A1B92" w:rsidRPr="003B1BE2" w:rsidTr="003B1BE2">
        <w:tc>
          <w:tcPr>
            <w:tcW w:w="2802" w:type="dxa"/>
            <w:shd w:val="clear" w:color="auto" w:fill="auto"/>
          </w:tcPr>
          <w:p w:rsidR="008A1B92" w:rsidRPr="000B53CC" w:rsidRDefault="008A1B92" w:rsidP="00C41182">
            <w:pPr>
              <w:spacing w:line="276" w:lineRule="auto"/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Basic Learning Material</w:t>
            </w:r>
          </w:p>
        </w:tc>
        <w:tc>
          <w:tcPr>
            <w:tcW w:w="5714" w:type="dxa"/>
            <w:shd w:val="clear" w:color="auto" w:fill="auto"/>
          </w:tcPr>
          <w:p w:rsidR="008A1B92" w:rsidRPr="007B43DD" w:rsidRDefault="007B43DD" w:rsidP="008A1B92">
            <w:r w:rsidRPr="007B43DD">
              <w:t>Power Point Presentation</w:t>
            </w:r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0B53CC" w:rsidRDefault="008A1B92" w:rsidP="00C41182">
            <w:pPr>
              <w:spacing w:line="276" w:lineRule="auto"/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Additional Learning Material</w:t>
            </w:r>
          </w:p>
        </w:tc>
        <w:tc>
          <w:tcPr>
            <w:tcW w:w="5714" w:type="dxa"/>
            <w:shd w:val="clear" w:color="auto" w:fill="auto"/>
          </w:tcPr>
          <w:p w:rsidR="008A1B92" w:rsidRPr="003B1BE2" w:rsidRDefault="008A1B92" w:rsidP="00AE3FAE">
            <w:pPr>
              <w:spacing w:line="240" w:lineRule="auto"/>
              <w:rPr>
                <w:rFonts w:cs="Arial"/>
                <w:iCs/>
                <w:szCs w:val="24"/>
              </w:rPr>
            </w:pPr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0B53CC" w:rsidRDefault="008A1B92" w:rsidP="00C41182">
            <w:pPr>
              <w:spacing w:line="276" w:lineRule="auto"/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Educational video</w:t>
            </w:r>
          </w:p>
        </w:tc>
        <w:tc>
          <w:tcPr>
            <w:tcW w:w="5714" w:type="dxa"/>
            <w:shd w:val="clear" w:color="auto" w:fill="auto"/>
          </w:tcPr>
          <w:p w:rsidR="00C41182" w:rsidRDefault="00C41182" w:rsidP="00C41182">
            <w:pPr>
              <w:spacing w:line="240" w:lineRule="auto"/>
            </w:pPr>
            <w:r w:rsidRPr="004F2DB6">
              <w:t>YouTube channel collecting NI</w:t>
            </w:r>
            <w:r>
              <w:t>CO seminars on complex systems:</w:t>
            </w:r>
          </w:p>
          <w:p w:rsidR="00C41182" w:rsidRDefault="00DC41CC" w:rsidP="00C41182">
            <w:pPr>
              <w:spacing w:line="240" w:lineRule="auto"/>
            </w:pPr>
            <w:hyperlink r:id="rId5" w:history="1">
              <w:r w:rsidR="00C41182" w:rsidRPr="00AE6634">
                <w:rPr>
                  <w:rStyle w:val="Hyperlink"/>
                </w:rPr>
                <w:t>https://www.youtube.co</w:t>
              </w:r>
              <w:r w:rsidR="00C41182" w:rsidRPr="00AE6634">
                <w:rPr>
                  <w:rStyle w:val="Hyperlink"/>
                </w:rPr>
                <w:t>m</w:t>
              </w:r>
              <w:r w:rsidR="00C41182" w:rsidRPr="00AE6634">
                <w:rPr>
                  <w:rStyle w:val="Hyperlink"/>
                </w:rPr>
                <w:t>/channel/UC7OtqKhLoQVH2WBnyBpDK1g</w:t>
              </w:r>
            </w:hyperlink>
          </w:p>
          <w:p w:rsidR="008A1B92" w:rsidRPr="00537FA7" w:rsidRDefault="008A1B92" w:rsidP="00C108E5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0B53CC" w:rsidRDefault="008A1B92" w:rsidP="00C41182">
            <w:pPr>
              <w:spacing w:line="276" w:lineRule="auto"/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 xml:space="preserve">Reading materials </w:t>
            </w:r>
          </w:p>
        </w:tc>
        <w:tc>
          <w:tcPr>
            <w:tcW w:w="5714" w:type="dxa"/>
            <w:shd w:val="clear" w:color="auto" w:fill="auto"/>
          </w:tcPr>
          <w:p w:rsidR="008A1B92" w:rsidRPr="00CA7CB6" w:rsidRDefault="004A5593" w:rsidP="00D42CD1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b/>
                <w:iCs/>
                <w:sz w:val="24"/>
              </w:rPr>
            </w:pPr>
            <w:proofErr w:type="spellStart"/>
            <w:r w:rsidRPr="00CA7CB6">
              <w:rPr>
                <w:rFonts w:cstheme="minorHAnsi"/>
                <w:sz w:val="24"/>
              </w:rPr>
              <w:t>Yaneer</w:t>
            </w:r>
            <w:proofErr w:type="spellEnd"/>
            <w:r w:rsidRPr="00CA7CB6">
              <w:rPr>
                <w:rFonts w:cstheme="minorHAnsi"/>
                <w:sz w:val="24"/>
              </w:rPr>
              <w:t xml:space="preserve"> B.-Y.</w:t>
            </w:r>
            <w:r w:rsidR="00C41182" w:rsidRPr="00CA7CB6">
              <w:rPr>
                <w:rFonts w:eastAsia="MS Mincho" w:cstheme="minorHAnsi"/>
                <w:bCs/>
                <w:sz w:val="24"/>
                <w:lang w:eastAsia="el-GR"/>
              </w:rPr>
              <w:t>, (2013). Overview: The Dynamics of Complex Systems — Examples, Questions, Methods and Concepts</w:t>
            </w:r>
          </w:p>
          <w:p w:rsidR="00D42CD1" w:rsidRPr="00FD3DA6" w:rsidRDefault="00D42CD1" w:rsidP="00D42CD1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rPr>
                <w:rFonts w:asciiTheme="minorHAnsi" w:hAnsiTheme="minorHAnsi" w:cstheme="minorHAnsi"/>
                <w:iCs/>
                <w:sz w:val="24"/>
                <w:szCs w:val="22"/>
              </w:rPr>
            </w:pPr>
            <w:r w:rsidRPr="00CA7CB6">
              <w:rPr>
                <w:rFonts w:asciiTheme="minorHAnsi" w:hAnsiTheme="minorHAnsi" w:cstheme="minorHAnsi"/>
                <w:bCs/>
                <w:sz w:val="24"/>
                <w:szCs w:val="22"/>
                <w:lang w:eastAsia="el-GR"/>
              </w:rPr>
              <w:t>Cash D. W., et al (2003). Knowledge systems for sustainable development</w:t>
            </w:r>
          </w:p>
          <w:p w:rsidR="00FD3DA6" w:rsidRPr="00CA7CB6" w:rsidRDefault="00FD3DA6" w:rsidP="00FD3DA6">
            <w:pPr>
              <w:pStyle w:val="NormalWeb"/>
              <w:spacing w:before="0" w:beforeAutospacing="0" w:after="0" w:afterAutospacing="0"/>
              <w:ind w:left="720"/>
              <w:rPr>
                <w:rFonts w:asciiTheme="minorHAnsi" w:hAnsiTheme="minorHAnsi" w:cstheme="minorHAnsi"/>
                <w:iCs/>
                <w:sz w:val="24"/>
                <w:szCs w:val="22"/>
              </w:rPr>
            </w:pPr>
          </w:p>
          <w:p w:rsidR="00CA7CB6" w:rsidRPr="00FD3DA6" w:rsidRDefault="00CA7CB6" w:rsidP="00CA7CB6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rPr>
                <w:rFonts w:asciiTheme="minorHAnsi" w:hAnsiTheme="minorHAnsi" w:cstheme="minorHAnsi"/>
                <w:iCs/>
                <w:sz w:val="24"/>
                <w:szCs w:val="22"/>
              </w:rPr>
            </w:pPr>
            <w:r w:rsidRPr="00CA7CB6">
              <w:rPr>
                <w:rFonts w:asciiTheme="minorHAnsi" w:hAnsiTheme="minorHAnsi" w:cstheme="minorHAnsi"/>
                <w:sz w:val="24"/>
                <w:szCs w:val="22"/>
                <w:lang w:eastAsia="el-GR"/>
              </w:rPr>
              <w:t xml:space="preserve">Brandt P., et al (2013). A review of </w:t>
            </w:r>
            <w:proofErr w:type="spellStart"/>
            <w:r w:rsidRPr="00CA7CB6">
              <w:rPr>
                <w:rFonts w:asciiTheme="minorHAnsi" w:hAnsiTheme="minorHAnsi" w:cstheme="minorHAnsi"/>
                <w:sz w:val="24"/>
                <w:szCs w:val="22"/>
                <w:lang w:eastAsia="el-GR"/>
              </w:rPr>
              <w:t>transdisciplinary</w:t>
            </w:r>
            <w:proofErr w:type="spellEnd"/>
            <w:r w:rsidRPr="00CA7CB6">
              <w:rPr>
                <w:rFonts w:asciiTheme="minorHAnsi" w:hAnsiTheme="minorHAnsi" w:cstheme="minorHAnsi"/>
                <w:sz w:val="24"/>
                <w:szCs w:val="22"/>
                <w:lang w:eastAsia="el-GR"/>
              </w:rPr>
              <w:t xml:space="preserve"> research in sustainability science </w:t>
            </w:r>
          </w:p>
          <w:p w:rsidR="00FD3DA6" w:rsidRPr="00CA7CB6" w:rsidRDefault="00FD3DA6" w:rsidP="00FD3DA6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sz w:val="24"/>
                <w:szCs w:val="22"/>
              </w:rPr>
            </w:pPr>
          </w:p>
          <w:p w:rsidR="00AE3FAE" w:rsidRPr="00D701A2" w:rsidRDefault="00CA7CB6" w:rsidP="00AE3FAE">
            <w:pPr>
              <w:pStyle w:val="NormalWeb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Theme="minorHAnsi" w:hAnsiTheme="minorHAnsi" w:cstheme="minorHAnsi"/>
                <w:iCs/>
                <w:sz w:val="24"/>
                <w:szCs w:val="22"/>
              </w:rPr>
            </w:pPr>
            <w:r w:rsidRPr="00CA7CB6">
              <w:rPr>
                <w:rFonts w:asciiTheme="minorHAnsi" w:hAnsiTheme="minorHAnsi" w:cstheme="minorHAnsi"/>
                <w:color w:val="000000"/>
                <w:sz w:val="24"/>
                <w:szCs w:val="22"/>
                <w:lang w:eastAsia="el-GR"/>
              </w:rPr>
              <w:t>Kamp</w:t>
            </w:r>
            <w:r w:rsidRPr="00CA7CB6">
              <w:rPr>
                <w:rFonts w:asciiTheme="minorHAnsi" w:hAnsiTheme="minorHAnsi" w:cstheme="minorHAnsi"/>
                <w:color w:val="0000FF"/>
                <w:sz w:val="24"/>
                <w:szCs w:val="22"/>
                <w:lang w:eastAsia="el-GR"/>
              </w:rPr>
              <w:t xml:space="preserve"> </w:t>
            </w:r>
            <w:r w:rsidRPr="00CA7CB6">
              <w:rPr>
                <w:rFonts w:asciiTheme="minorHAnsi" w:hAnsiTheme="minorHAnsi" w:cstheme="minorHAnsi"/>
                <w:color w:val="000000"/>
                <w:sz w:val="24"/>
                <w:szCs w:val="22"/>
                <w:lang w:eastAsia="el-GR"/>
              </w:rPr>
              <w:t xml:space="preserve">I., et al (2003). </w:t>
            </w:r>
            <w:r w:rsidRPr="00CA7CB6">
              <w:rPr>
                <w:rFonts w:asciiTheme="minorHAnsi" w:hAnsiTheme="minorHAnsi" w:cstheme="minorHAnsi"/>
                <w:sz w:val="24"/>
                <w:szCs w:val="22"/>
                <w:lang w:eastAsia="el-GR"/>
              </w:rPr>
              <w:t>Urban environmental quality and human well-being Towards a conceptual framework and demarcation of concepts; a literature study</w:t>
            </w:r>
          </w:p>
          <w:p w:rsidR="00AE3FAE" w:rsidRDefault="00AE3FAE" w:rsidP="00AE3FAE">
            <w:pPr>
              <w:spacing w:line="240" w:lineRule="auto"/>
            </w:pPr>
          </w:p>
          <w:p w:rsidR="00AE3FAE" w:rsidRPr="004F2DB6" w:rsidRDefault="00AE3FAE" w:rsidP="00AE3FAE">
            <w:pPr>
              <w:pStyle w:val="ListParagraph"/>
              <w:numPr>
                <w:ilvl w:val="0"/>
                <w:numId w:val="8"/>
              </w:numPr>
              <w:spacing w:line="240" w:lineRule="auto"/>
            </w:pPr>
            <w:r w:rsidRPr="004F2DB6">
              <w:t>Principles of complex System, University of Vermont</w:t>
            </w:r>
          </w:p>
          <w:p w:rsidR="00AE3FAE" w:rsidRPr="00AE3FAE" w:rsidRDefault="00AE3FAE" w:rsidP="00AE3FAE">
            <w:pPr>
              <w:spacing w:line="240" w:lineRule="auto"/>
            </w:pPr>
            <w:hyperlink r:id="rId6" w:history="1">
              <w:r w:rsidRPr="00AE6634">
                <w:rPr>
                  <w:rStyle w:val="Hyperlink"/>
                </w:rPr>
                <w:t>http://www.u</w:t>
              </w:r>
              <w:r w:rsidRPr="00AE6634">
                <w:rPr>
                  <w:rStyle w:val="Hyperlink"/>
                </w:rPr>
                <w:t>v</w:t>
              </w:r>
              <w:r w:rsidRPr="00AE6634">
                <w:rPr>
                  <w:rStyle w:val="Hyperlink"/>
                </w:rPr>
                <w:t>m.edu/~pdodds/teaching/courses/2013-08UVM-300/content/lectures.html</w:t>
              </w:r>
            </w:hyperlink>
          </w:p>
        </w:tc>
      </w:tr>
      <w:tr w:rsidR="003B1BE2" w:rsidRPr="003B1BE2" w:rsidTr="003B1BE2">
        <w:tc>
          <w:tcPr>
            <w:tcW w:w="2802" w:type="dxa"/>
            <w:shd w:val="clear" w:color="auto" w:fill="auto"/>
          </w:tcPr>
          <w:p w:rsidR="003B1BE2" w:rsidRPr="000B53CC" w:rsidRDefault="003B1BE2" w:rsidP="00C41182">
            <w:pPr>
              <w:spacing w:line="276" w:lineRule="auto"/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lastRenderedPageBreak/>
              <w:t>Activities</w:t>
            </w:r>
          </w:p>
        </w:tc>
        <w:tc>
          <w:tcPr>
            <w:tcW w:w="5714" w:type="dxa"/>
            <w:shd w:val="clear" w:color="auto" w:fill="auto"/>
          </w:tcPr>
          <w:p w:rsidR="009C4AE6" w:rsidRPr="009C4AE6" w:rsidRDefault="009C4AE6" w:rsidP="009C4AE6">
            <w:pPr>
              <w:spacing w:after="200" w:line="240" w:lineRule="auto"/>
            </w:pPr>
            <w:r w:rsidRPr="009C4AE6">
              <w:t>Read the case study provided for Module 1 (“Cooling off a Warming Planet:  Analyzing the Tradeoffs in Policies for Climate Change”).</w:t>
            </w:r>
          </w:p>
          <w:p w:rsidR="009C4AE6" w:rsidRDefault="009C4AE6" w:rsidP="009C4AE6">
            <w:pPr>
              <w:pStyle w:val="ListParagraph"/>
              <w:numPr>
                <w:ilvl w:val="0"/>
                <w:numId w:val="7"/>
              </w:numPr>
              <w:spacing w:after="200" w:line="240" w:lineRule="auto"/>
              <w:rPr>
                <w:sz w:val="24"/>
              </w:rPr>
            </w:pPr>
            <w:r w:rsidRPr="00B074D0">
              <w:rPr>
                <w:sz w:val="24"/>
              </w:rPr>
              <w:t>Describe which contribution you can give to the analysis according to your disciplinary and academic background (social sciences, humanities, economics, natural sciences, physics, engineering etc.) and explain your choice.</w:t>
            </w:r>
          </w:p>
          <w:p w:rsidR="003B1BE2" w:rsidRPr="003B1BE2" w:rsidRDefault="007B43DD" w:rsidP="007B43DD">
            <w:pPr>
              <w:pStyle w:val="ListParagraph"/>
              <w:numPr>
                <w:ilvl w:val="0"/>
                <w:numId w:val="4"/>
              </w:numPr>
              <w:spacing w:line="240" w:lineRule="auto"/>
            </w:pPr>
            <w:r w:rsidRPr="007B43DD">
              <w:rPr>
                <w:sz w:val="24"/>
                <w:szCs w:val="24"/>
              </w:rPr>
              <w:t>Illustrate the reason why an interdisciplinary or multidisciplinary approach could be relevant in the case study analyzed</w:t>
            </w:r>
            <w:r>
              <w:rPr>
                <w:sz w:val="24"/>
                <w:szCs w:val="24"/>
              </w:rPr>
              <w:t xml:space="preserve"> (complex system)</w:t>
            </w:r>
            <w:r w:rsidRPr="007B43DD">
              <w:rPr>
                <w:sz w:val="24"/>
                <w:szCs w:val="24"/>
              </w:rPr>
              <w:t>.</w:t>
            </w:r>
          </w:p>
        </w:tc>
      </w:tr>
      <w:tr w:rsidR="00064A21" w:rsidRPr="003B1BE2" w:rsidTr="003B1BE2">
        <w:tc>
          <w:tcPr>
            <w:tcW w:w="2802" w:type="dxa"/>
            <w:shd w:val="clear" w:color="auto" w:fill="auto"/>
          </w:tcPr>
          <w:p w:rsidR="00064A21" w:rsidRPr="000B53CC" w:rsidRDefault="006D62CC" w:rsidP="00C41182">
            <w:pPr>
              <w:spacing w:line="276" w:lineRule="auto"/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Checklist</w:t>
            </w:r>
          </w:p>
        </w:tc>
        <w:tc>
          <w:tcPr>
            <w:tcW w:w="5714" w:type="dxa"/>
            <w:shd w:val="clear" w:color="auto" w:fill="auto"/>
          </w:tcPr>
          <w:p w:rsidR="00AE75E0" w:rsidRPr="00AE75E0" w:rsidRDefault="00AE75E0" w:rsidP="006D62CC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</w:p>
        </w:tc>
      </w:tr>
      <w:tr w:rsidR="006D62CC" w:rsidRPr="003B1BE2" w:rsidTr="006D62C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0B53CC" w:rsidRDefault="006D62CC" w:rsidP="00C41182">
            <w:pPr>
              <w:spacing w:line="276" w:lineRule="auto"/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Evaluation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6D62CC" w:rsidRDefault="00AE3FAE" w:rsidP="00E27D7C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 xml:space="preserve">Assignment grading </w:t>
            </w:r>
          </w:p>
        </w:tc>
      </w:tr>
    </w:tbl>
    <w:p w:rsidR="00AC641D" w:rsidRDefault="00AC641D"/>
    <w:p w:rsidR="006D62CC" w:rsidRDefault="006D62CC"/>
    <w:p w:rsidR="00102854" w:rsidRDefault="00CF61FD">
      <w:r>
        <w:rPr>
          <w:noProof/>
          <w:lang w:val="el-GR" w:eastAsia="el-GR" w:bidi="ar-S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118110</wp:posOffset>
            </wp:positionH>
            <wp:positionV relativeFrom="paragraph">
              <wp:posOffset>719455</wp:posOffset>
            </wp:positionV>
            <wp:extent cx="5266055" cy="4131945"/>
            <wp:effectExtent l="19050" t="0" r="0" b="0"/>
            <wp:wrapNone/>
            <wp:docPr id="2" name="Εικόνα 2" descr="Στιγμιότυπο 2015-09-14,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Στιγμιότυπο 2015-09-14,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055" cy="4131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87A42">
        <w:t>Since there are different ways to lay out the course structure before uploading your document</w:t>
      </w:r>
      <w:r w:rsidR="00AE75E0">
        <w:t xml:space="preserve"> to</w:t>
      </w:r>
      <w:r w:rsidR="00487A42">
        <w:t xml:space="preserve"> the online classroom, the following is a prototype that can easily be adapted:</w:t>
      </w:r>
    </w:p>
    <w:p w:rsidR="00487A42" w:rsidRDefault="00487A42"/>
    <w:p w:rsidR="00102854" w:rsidRDefault="00102854"/>
    <w:sectPr w:rsidR="00102854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55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F003F"/>
    <w:multiLevelType w:val="hybridMultilevel"/>
    <w:tmpl w:val="570607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4C7D6C"/>
    <w:multiLevelType w:val="hybridMultilevel"/>
    <w:tmpl w:val="F2FE8A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Heading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983D99"/>
    <w:multiLevelType w:val="hybridMultilevel"/>
    <w:tmpl w:val="8CBC8C0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95010A"/>
    <w:multiLevelType w:val="hybridMultilevel"/>
    <w:tmpl w:val="2BEEB0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560416E1"/>
    <w:multiLevelType w:val="hybridMultilevel"/>
    <w:tmpl w:val="CC72B8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976032"/>
    <w:multiLevelType w:val="hybridMultilevel"/>
    <w:tmpl w:val="62281E9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7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02854"/>
    <w:rsid w:val="00064A21"/>
    <w:rsid w:val="000B53CC"/>
    <w:rsid w:val="00102854"/>
    <w:rsid w:val="00104E02"/>
    <w:rsid w:val="00325400"/>
    <w:rsid w:val="00356F53"/>
    <w:rsid w:val="003B1BE2"/>
    <w:rsid w:val="00422A37"/>
    <w:rsid w:val="00487A42"/>
    <w:rsid w:val="004A5593"/>
    <w:rsid w:val="004A61F2"/>
    <w:rsid w:val="004B676F"/>
    <w:rsid w:val="00537FA7"/>
    <w:rsid w:val="00542747"/>
    <w:rsid w:val="005841F4"/>
    <w:rsid w:val="005B19D9"/>
    <w:rsid w:val="006D62CC"/>
    <w:rsid w:val="006F6DBB"/>
    <w:rsid w:val="00720416"/>
    <w:rsid w:val="0077183D"/>
    <w:rsid w:val="007B43DD"/>
    <w:rsid w:val="008905ED"/>
    <w:rsid w:val="008A1B92"/>
    <w:rsid w:val="009C4AE6"/>
    <w:rsid w:val="009D2B11"/>
    <w:rsid w:val="00A21099"/>
    <w:rsid w:val="00AC641D"/>
    <w:rsid w:val="00AE3FAE"/>
    <w:rsid w:val="00AE75E0"/>
    <w:rsid w:val="00B56B9B"/>
    <w:rsid w:val="00B80BBC"/>
    <w:rsid w:val="00B95FE1"/>
    <w:rsid w:val="00C41182"/>
    <w:rsid w:val="00C43441"/>
    <w:rsid w:val="00C56EC9"/>
    <w:rsid w:val="00C81BA9"/>
    <w:rsid w:val="00CA7CB6"/>
    <w:rsid w:val="00CB2FAB"/>
    <w:rsid w:val="00CF61FD"/>
    <w:rsid w:val="00D25031"/>
    <w:rsid w:val="00D42CD1"/>
    <w:rsid w:val="00D701A2"/>
    <w:rsid w:val="00DC41CC"/>
    <w:rsid w:val="00E27D7C"/>
    <w:rsid w:val="00E63C69"/>
    <w:rsid w:val="00F36AEB"/>
    <w:rsid w:val="00F56EEE"/>
    <w:rsid w:val="00FD3D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Heading2Char">
    <w:name w:val="Heading 2 Char"/>
    <w:link w:val="Heading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Heading1Char">
    <w:name w:val="Heading 1 Char"/>
    <w:link w:val="Heading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Web">
    <w:name w:val="Normal (Web)"/>
    <w:basedOn w:val="Normal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TableGrid">
    <w:name w:val="Table Grid"/>
    <w:basedOn w:val="TableNormal"/>
    <w:uiPriority w:val="59"/>
    <w:rsid w:val="00AC64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43DD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lang w:eastAsia="en-US" w:bidi="ar-SA"/>
    </w:rPr>
  </w:style>
  <w:style w:type="character" w:styleId="Hyperlink">
    <w:name w:val="Hyperlink"/>
    <w:basedOn w:val="DefaultParagraphFont"/>
    <w:uiPriority w:val="99"/>
    <w:unhideWhenUsed/>
    <w:rsid w:val="00C41182"/>
    <w:rPr>
      <w:strike w:val="0"/>
      <w:dstrike w:val="0"/>
      <w:color w:val="36525D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422A3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vm.edu/~pdodds/teaching/courses/2013-08UVM-300/content/lectures.html" TargetMode="External"/><Relationship Id="rId5" Type="http://schemas.openxmlformats.org/officeDocument/2006/relationships/hyperlink" Target="https://www.youtube.com/channel/UC7OtqKhLoQVH2WBnyBpDK1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358</Words>
  <Characters>1934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Adamantia Spanaka</Company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Adamantia Spanaka</dc:creator>
  <cp:lastModifiedBy>ATHINA</cp:lastModifiedBy>
  <cp:revision>11</cp:revision>
  <dcterms:created xsi:type="dcterms:W3CDTF">2015-10-12T16:19:00Z</dcterms:created>
  <dcterms:modified xsi:type="dcterms:W3CDTF">2016-05-16T10:01:00Z</dcterms:modified>
</cp:coreProperties>
</file>