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BE5" w:rsidRDefault="001E1BE5">
      <w:pPr>
        <w:rPr>
          <w:lang w:val="en-US"/>
        </w:rPr>
      </w:pPr>
    </w:p>
    <w:p w:rsidR="001E1BE5" w:rsidRPr="00084F12" w:rsidRDefault="00084F12" w:rsidP="001E1B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caps/>
        </w:rPr>
        <w:t>τιτλοσ</w:t>
      </w:r>
      <w:r w:rsidRPr="00084F12">
        <w:rPr>
          <w:rFonts w:ascii="Calibri" w:eastAsia="Calibri" w:hAnsi="Calibri" w:cs="Times New Roman"/>
          <w:b/>
          <w:caps/>
        </w:rPr>
        <w:t xml:space="preserve"> </w:t>
      </w:r>
      <w:r>
        <w:rPr>
          <w:rFonts w:ascii="Calibri" w:eastAsia="Calibri" w:hAnsi="Calibri" w:cs="Times New Roman"/>
          <w:b/>
          <w:caps/>
        </w:rPr>
        <w:t>μαθηματος</w:t>
      </w:r>
      <w:r w:rsidR="001E1BE5" w:rsidRPr="00084F12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Συμμετοχικές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Μέθοδοι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για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την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αειφόρο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διαχείριση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των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πηγών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ενέργειας</w:t>
      </w:r>
    </w:p>
    <w:p w:rsidR="001E1BE5" w:rsidRPr="00084F12" w:rsidRDefault="00084F12" w:rsidP="001E1B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caps/>
        </w:rPr>
        <w:t>Συμμετεχοντες</w:t>
      </w:r>
      <w:r w:rsidRPr="00084F12">
        <w:rPr>
          <w:rFonts w:ascii="Calibri" w:eastAsia="Calibri" w:hAnsi="Calibri" w:cs="Times New Roman"/>
          <w:b/>
          <w:caps/>
        </w:rPr>
        <w:t xml:space="preserve"> </w:t>
      </w:r>
      <w:r>
        <w:rPr>
          <w:rFonts w:ascii="Calibri" w:eastAsia="Calibri" w:hAnsi="Calibri" w:cs="Times New Roman"/>
          <w:b/>
          <w:caps/>
        </w:rPr>
        <w:t>φορεισ</w:t>
      </w:r>
      <w:r w:rsidR="001E1BE5" w:rsidRPr="00084F12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Πανεπιστήμιο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Ιωαννίνων</w:t>
      </w:r>
      <w:r w:rsidRPr="00084F12"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>Πανεπιστήμιο</w:t>
      </w:r>
      <w:r w:rsidRPr="00084F1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Νάπολης</w:t>
      </w:r>
    </w:p>
    <w:p w:rsidR="001E1BE5" w:rsidRPr="008A1116" w:rsidRDefault="00084F12" w:rsidP="001E1B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</w:rPr>
        <w:t>ΠΕΡΙΓΡΑΦΗ</w:t>
      </w:r>
      <w:r w:rsidR="001E1BE5" w:rsidRPr="00084F12">
        <w:rPr>
          <w:rFonts w:ascii="Calibri" w:eastAsia="Calibri" w:hAnsi="Calibri" w:cs="Times New Roman"/>
        </w:rPr>
        <w:t xml:space="preserve">: </w:t>
      </w:r>
      <w:r w:rsidRPr="00084F12">
        <w:rPr>
          <w:rFonts w:ascii="Calibri" w:eastAsia="Calibri" w:hAnsi="Calibri" w:cs="Times New Roman"/>
        </w:rPr>
        <w:t>Υπήρξε ένα αυξανόμενο ενδιαφέρον για τη χρήση των συμμετοχικών προσεγγίσεων για τη βιώσιμη</w:t>
      </w:r>
      <w:r>
        <w:rPr>
          <w:rFonts w:ascii="Calibri" w:eastAsia="Calibri" w:hAnsi="Calibri" w:cs="Times New Roman"/>
        </w:rPr>
        <w:t xml:space="preserve"> διαχείριση των φυσικών πόρων. Οι δραστηριότητες της</w:t>
      </w:r>
      <w:r w:rsidRPr="00084F12">
        <w:rPr>
          <w:rFonts w:ascii="Calibri" w:eastAsia="Calibri" w:hAnsi="Calibri" w:cs="Times New Roman"/>
        </w:rPr>
        <w:t xml:space="preserve"> έρευνα</w:t>
      </w:r>
      <w:r>
        <w:rPr>
          <w:rFonts w:ascii="Calibri" w:eastAsia="Calibri" w:hAnsi="Calibri" w:cs="Times New Roman"/>
        </w:rPr>
        <w:t>ς</w:t>
      </w:r>
      <w:r w:rsidRPr="00084F12">
        <w:rPr>
          <w:rFonts w:ascii="Calibri" w:eastAsia="Calibri" w:hAnsi="Calibri" w:cs="Times New Roman"/>
        </w:rPr>
        <w:t xml:space="preserve"> δράσης θεωρούνται ευρέως ως μια </w:t>
      </w:r>
      <w:r>
        <w:rPr>
          <w:rFonts w:ascii="Calibri" w:eastAsia="Calibri" w:hAnsi="Calibri" w:cs="Times New Roman"/>
        </w:rPr>
        <w:t>δεξαμενή</w:t>
      </w:r>
      <w:r w:rsidRPr="00084F12">
        <w:rPr>
          <w:rFonts w:ascii="Calibri" w:eastAsia="Calibri" w:hAnsi="Calibri" w:cs="Times New Roman"/>
        </w:rPr>
        <w:t xml:space="preserve"> των εννοιών και των πρακτικών που επιτρέπουν στους πολίτες να βελτιώσουν τις γνώσεις τους για την αειφόρο ανάπτυξη.</w:t>
      </w:r>
      <w:r w:rsidR="00C337F0" w:rsidRPr="00084F12">
        <w:t xml:space="preserve"> </w:t>
      </w:r>
      <w:r w:rsidRPr="00084F12">
        <w:t xml:space="preserve">Προτείνουμε τη χρήση </w:t>
      </w:r>
      <w:r>
        <w:t>μελετών περίπτωσης</w:t>
      </w:r>
      <w:r w:rsidRPr="00084F12">
        <w:t xml:space="preserve"> </w:t>
      </w:r>
      <w:r w:rsidR="005416DB">
        <w:t>ως</w:t>
      </w:r>
      <w:r w:rsidRPr="00084F12">
        <w:t xml:space="preserve"> διδακτικό υλικό</w:t>
      </w:r>
      <w:r w:rsidR="005416DB">
        <w:t>,</w:t>
      </w:r>
      <w:r w:rsidRPr="00084F12">
        <w:t xml:space="preserve"> στο οποίο </w:t>
      </w:r>
      <w:r>
        <w:t xml:space="preserve">οι </w:t>
      </w:r>
      <w:r w:rsidRPr="00084F12">
        <w:t xml:space="preserve">συμμετοχικές προσεγγίσεις </w:t>
      </w:r>
      <w:r w:rsidR="005416DB">
        <w:t>ήταν επιτυχείς ή συνάντησαν</w:t>
      </w:r>
      <w:r w:rsidRPr="00084F12">
        <w:t xml:space="preserve"> </w:t>
      </w:r>
      <w:r w:rsidR="005416DB">
        <w:t xml:space="preserve">διάφορα </w:t>
      </w:r>
      <w:r>
        <w:t xml:space="preserve">εμπόδια </w:t>
      </w:r>
      <w:r w:rsidR="005416DB">
        <w:t xml:space="preserve">όπως για </w:t>
      </w:r>
      <w:r>
        <w:t xml:space="preserve">παράδειγμα </w:t>
      </w:r>
      <w:r w:rsidR="005416DB">
        <w:t>οι αρχές</w:t>
      </w:r>
      <w:r>
        <w:t xml:space="preserve"> ή </w:t>
      </w:r>
      <w:r w:rsidR="005416DB">
        <w:t>οι κοινότητες</w:t>
      </w:r>
      <w:r>
        <w:t>.</w:t>
      </w:r>
      <w:r w:rsidRPr="00084F12">
        <w:t xml:space="preserve"> </w:t>
      </w:r>
      <w:r>
        <w:rPr>
          <w:rStyle w:val="hps"/>
        </w:rPr>
        <w:t>Οι</w:t>
      </w:r>
      <w:r w:rsidRPr="00EC6DC9">
        <w:rPr>
          <w:rStyle w:val="hps"/>
        </w:rPr>
        <w:t xml:space="preserve"> </w:t>
      </w:r>
      <w:r>
        <w:rPr>
          <w:rStyle w:val="hps"/>
        </w:rPr>
        <w:t>μέθοδοι</w:t>
      </w:r>
      <w:r w:rsidRPr="00EC6DC9">
        <w:rPr>
          <w:rStyle w:val="hps"/>
        </w:rPr>
        <w:t xml:space="preserve"> </w:t>
      </w:r>
      <w:r>
        <w:rPr>
          <w:rStyle w:val="hps"/>
        </w:rPr>
        <w:t>των</w:t>
      </w:r>
      <w:r w:rsidRPr="00EC6DC9">
        <w:rPr>
          <w:rStyle w:val="hps"/>
        </w:rPr>
        <w:t xml:space="preserve"> </w:t>
      </w:r>
      <w:r>
        <w:rPr>
          <w:rStyle w:val="hps"/>
        </w:rPr>
        <w:t>κοινωνικών</w:t>
      </w:r>
      <w:r w:rsidRPr="00EC6DC9">
        <w:rPr>
          <w:rStyle w:val="hps"/>
        </w:rPr>
        <w:t xml:space="preserve"> </w:t>
      </w:r>
      <w:r>
        <w:rPr>
          <w:rStyle w:val="hps"/>
        </w:rPr>
        <w:t>επιστημών</w:t>
      </w:r>
      <w:r w:rsidRPr="00EC6DC9">
        <w:rPr>
          <w:rStyle w:val="hps"/>
        </w:rPr>
        <w:t xml:space="preserve"> </w:t>
      </w:r>
      <w:r>
        <w:rPr>
          <w:rStyle w:val="hps"/>
        </w:rPr>
        <w:t>και</w:t>
      </w:r>
      <w:r w:rsidRPr="00EC6DC9">
        <w:rPr>
          <w:rStyle w:val="hps"/>
        </w:rPr>
        <w:t xml:space="preserve"> </w:t>
      </w:r>
      <w:r>
        <w:rPr>
          <w:rStyle w:val="hps"/>
        </w:rPr>
        <w:t>η</w:t>
      </w:r>
      <w:r w:rsidRPr="00EC6DC9">
        <w:rPr>
          <w:rStyle w:val="hps"/>
        </w:rPr>
        <w:t xml:space="preserve"> </w:t>
      </w:r>
      <w:r>
        <w:rPr>
          <w:rStyle w:val="hps"/>
        </w:rPr>
        <w:t>ποιοτική</w:t>
      </w:r>
      <w:r w:rsidRPr="00EC6DC9">
        <w:rPr>
          <w:rStyle w:val="hps"/>
        </w:rPr>
        <w:t xml:space="preserve"> </w:t>
      </w:r>
      <w:r>
        <w:rPr>
          <w:rStyle w:val="hps"/>
        </w:rPr>
        <w:t>έρευνα</w:t>
      </w:r>
      <w:r w:rsidRPr="00EC6DC9">
        <w:rPr>
          <w:rStyle w:val="hps"/>
        </w:rPr>
        <w:t xml:space="preserve"> </w:t>
      </w:r>
      <w:r>
        <w:rPr>
          <w:rStyle w:val="hps"/>
        </w:rPr>
        <w:t>συζητιέται</w:t>
      </w:r>
      <w:r w:rsidRPr="00EC6DC9">
        <w:rPr>
          <w:rStyle w:val="hps"/>
        </w:rPr>
        <w:t xml:space="preserve"> </w:t>
      </w:r>
      <w:r>
        <w:rPr>
          <w:rStyle w:val="hps"/>
        </w:rPr>
        <w:t>στο</w:t>
      </w:r>
      <w:r w:rsidRPr="00EC6DC9">
        <w:rPr>
          <w:rStyle w:val="hps"/>
        </w:rPr>
        <w:t xml:space="preserve"> </w:t>
      </w:r>
      <w:r>
        <w:rPr>
          <w:rStyle w:val="hps"/>
        </w:rPr>
        <w:t>μάθημα</w:t>
      </w:r>
      <w:r w:rsidR="00EC6DC9">
        <w:rPr>
          <w:rStyle w:val="hps"/>
        </w:rPr>
        <w:t>,</w:t>
      </w:r>
      <w:r w:rsidRPr="00EC6DC9">
        <w:rPr>
          <w:rStyle w:val="hps"/>
        </w:rPr>
        <w:t xml:space="preserve">  </w:t>
      </w:r>
      <w:r>
        <w:rPr>
          <w:rStyle w:val="hps"/>
        </w:rPr>
        <w:t>ξεκινώντας</w:t>
      </w:r>
      <w:r w:rsidRPr="00EC6DC9">
        <w:rPr>
          <w:rStyle w:val="hps"/>
        </w:rPr>
        <w:t xml:space="preserve"> </w:t>
      </w:r>
      <w:r>
        <w:rPr>
          <w:rStyle w:val="hps"/>
        </w:rPr>
        <w:t>από</w:t>
      </w:r>
      <w:r w:rsidRPr="00EC6DC9">
        <w:rPr>
          <w:rStyle w:val="hps"/>
        </w:rPr>
        <w:t xml:space="preserve"> </w:t>
      </w:r>
      <w:r>
        <w:rPr>
          <w:rStyle w:val="hps"/>
        </w:rPr>
        <w:t>την</w:t>
      </w:r>
      <w:r w:rsidRPr="00EC6DC9">
        <w:rPr>
          <w:rStyle w:val="hps"/>
        </w:rPr>
        <w:t xml:space="preserve"> </w:t>
      </w:r>
      <w:r>
        <w:rPr>
          <w:rStyle w:val="hps"/>
        </w:rPr>
        <w:t>κριτική</w:t>
      </w:r>
      <w:r w:rsidRPr="00EC6DC9">
        <w:rPr>
          <w:rStyle w:val="hps"/>
        </w:rPr>
        <w:t xml:space="preserve"> </w:t>
      </w:r>
      <w:r>
        <w:rPr>
          <w:rStyle w:val="hps"/>
        </w:rPr>
        <w:t>ανάλυση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αυτών των μελετών περίπτωσης</w:t>
      </w:r>
      <w:r w:rsidR="00C337F0" w:rsidRPr="00EC6DC9">
        <w:rPr>
          <w:rStyle w:val="hps"/>
        </w:rPr>
        <w:t xml:space="preserve">. </w:t>
      </w:r>
      <w:r w:rsidR="00EC6DC9" w:rsidRPr="00EC6DC9">
        <w:rPr>
          <w:rStyle w:val="hps"/>
        </w:rPr>
        <w:t>Σκοπός του μαθήματος είναι η ανάπτυξη εγ</w:t>
      </w:r>
      <w:r w:rsidR="00EC6DC9">
        <w:rPr>
          <w:rStyle w:val="hps"/>
        </w:rPr>
        <w:t>κάρσιων ικανοτήτων στον τομέα των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 xml:space="preserve">θετικών, </w:t>
      </w:r>
      <w:r w:rsidR="00EC6DC9" w:rsidRPr="00EC6DC9">
        <w:rPr>
          <w:rStyle w:val="hps"/>
        </w:rPr>
        <w:t>οικονομικ</w:t>
      </w:r>
      <w:r w:rsidR="00EC6DC9">
        <w:rPr>
          <w:rStyle w:val="hps"/>
        </w:rPr>
        <w:t>ών</w:t>
      </w:r>
      <w:r w:rsidR="00EC6DC9" w:rsidRPr="00EC6DC9">
        <w:rPr>
          <w:rStyle w:val="hps"/>
        </w:rPr>
        <w:t xml:space="preserve"> και κοινωνικών επιστημών για μια εκπαίδευση που </w:t>
      </w:r>
      <w:r w:rsidR="00EC6DC9">
        <w:rPr>
          <w:rStyle w:val="hps"/>
        </w:rPr>
        <w:t>εμπλέκει τους ανθρώπους ως</w:t>
      </w:r>
      <w:r w:rsidR="00EC6DC9" w:rsidRPr="00EC6DC9">
        <w:rPr>
          <w:rStyle w:val="hps"/>
        </w:rPr>
        <w:t xml:space="preserve"> πολίτες.</w:t>
      </w:r>
      <w:r w:rsidR="00EC6DC9">
        <w:rPr>
          <w:rStyle w:val="hps"/>
        </w:rPr>
        <w:t xml:space="preserve"> Οι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εκπαιδευόμενοι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μαθαίνουν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να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αναγνωρίζουν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την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πολυπλοκότητα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πολλών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 xml:space="preserve">φαινομένων με μια κριτική ματιά η οποία </w:t>
      </w:r>
      <w:r w:rsidR="00202320">
        <w:rPr>
          <w:rStyle w:val="hps"/>
        </w:rPr>
        <w:t>προέρχεται από διαφορετικούς επιστημονικούς κλάδους</w:t>
      </w:r>
      <w:r w:rsidR="00EC6DC9">
        <w:rPr>
          <w:rStyle w:val="hps"/>
        </w:rPr>
        <w:t>. Οι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μαθησιακές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δραστηριότητες</w:t>
      </w:r>
      <w:r w:rsidR="00C337F0" w:rsidRPr="00EC6DC9">
        <w:rPr>
          <w:rStyle w:val="hps"/>
        </w:rPr>
        <w:t xml:space="preserve"> </w:t>
      </w:r>
      <w:r w:rsidR="00202320">
        <w:rPr>
          <w:rStyle w:val="hps"/>
        </w:rPr>
        <w:t>θα εστιαστούν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στην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αντιμετώπιση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των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πραγματικών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προβλημάτων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και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την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κριτική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εκτίμηση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των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επιπτώσεων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των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διαφόρων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λύσεων</w:t>
      </w:r>
      <w:r w:rsidR="00EC6DC9" w:rsidRPr="00EC6DC9">
        <w:rPr>
          <w:rStyle w:val="hps"/>
        </w:rPr>
        <w:t>.</w:t>
      </w:r>
      <w:r w:rsidR="00C337F0" w:rsidRPr="00EC6DC9">
        <w:rPr>
          <w:rStyle w:val="hps"/>
        </w:rPr>
        <w:t xml:space="preserve"> </w:t>
      </w:r>
      <w:r w:rsidR="00EC6DC9">
        <w:rPr>
          <w:rStyle w:val="hps"/>
        </w:rPr>
        <w:t>Ο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>δάσκαλος</w:t>
      </w:r>
      <w:r w:rsidR="00C337F0" w:rsidRPr="00EC6DC9">
        <w:rPr>
          <w:rStyle w:val="hps"/>
        </w:rPr>
        <w:t>/</w:t>
      </w:r>
      <w:r w:rsidR="00EC6DC9">
        <w:rPr>
          <w:rStyle w:val="hps"/>
        </w:rPr>
        <w:t>λέκτορας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 xml:space="preserve"> </w:t>
      </w:r>
      <w:r w:rsidR="00202320">
        <w:rPr>
          <w:rStyle w:val="hps"/>
        </w:rPr>
        <w:t xml:space="preserve">θα </w:t>
      </w:r>
      <w:r w:rsidR="00EC6DC9">
        <w:rPr>
          <w:rStyle w:val="hps"/>
        </w:rPr>
        <w:t>αναλαμβάνει διαφορετικούς ρόλους  σ</w:t>
      </w:r>
      <w:r w:rsidR="00EC6DC9" w:rsidRPr="00EC6DC9">
        <w:rPr>
          <w:rStyle w:val="hps"/>
        </w:rPr>
        <w:t xml:space="preserve">την ίδια δραστηριότητα: </w:t>
      </w:r>
      <w:r w:rsidR="00920A53">
        <w:rPr>
          <w:rStyle w:val="hps"/>
        </w:rPr>
        <w:t xml:space="preserve">ο </w:t>
      </w:r>
      <w:r w:rsidR="00EC6DC9" w:rsidRPr="00EC6DC9">
        <w:rPr>
          <w:rStyle w:val="hps"/>
        </w:rPr>
        <w:t xml:space="preserve">ειδικός, </w:t>
      </w:r>
      <w:r w:rsidR="00202320">
        <w:rPr>
          <w:rStyle w:val="hps"/>
        </w:rPr>
        <w:t>που</w:t>
      </w:r>
      <w:r w:rsidR="00EC6DC9" w:rsidRPr="00EC6DC9">
        <w:rPr>
          <w:rStyle w:val="hps"/>
        </w:rPr>
        <w:t xml:space="preserve"> </w:t>
      </w:r>
      <w:r w:rsidR="00EC6DC9">
        <w:rPr>
          <w:rStyle w:val="hps"/>
        </w:rPr>
        <w:t xml:space="preserve">έχει </w:t>
      </w:r>
      <w:r w:rsidR="00202320">
        <w:rPr>
          <w:rStyle w:val="hps"/>
        </w:rPr>
        <w:t>μελετήσει προγενέστερα ένα πρόβλημα’</w:t>
      </w:r>
      <w:r w:rsidR="00EC6DC9" w:rsidRPr="00EC6DC9">
        <w:rPr>
          <w:rStyle w:val="hps"/>
        </w:rPr>
        <w:t xml:space="preserve"> </w:t>
      </w:r>
      <w:r w:rsidR="00920A53">
        <w:rPr>
          <w:rStyle w:val="hps"/>
        </w:rPr>
        <w:t>ο εμπνευστής</w:t>
      </w:r>
      <w:r w:rsidR="00EC6DC9" w:rsidRPr="00EC6DC9">
        <w:rPr>
          <w:rStyle w:val="hps"/>
        </w:rPr>
        <w:t>,</w:t>
      </w:r>
      <w:r w:rsidR="00202320">
        <w:rPr>
          <w:rStyle w:val="hps"/>
        </w:rPr>
        <w:t xml:space="preserve"> που είναι </w:t>
      </w:r>
      <w:r w:rsidR="00EC6DC9" w:rsidRPr="00EC6DC9">
        <w:rPr>
          <w:rStyle w:val="hps"/>
        </w:rPr>
        <w:t>ικαν</w:t>
      </w:r>
      <w:r w:rsidR="00920A53">
        <w:rPr>
          <w:rStyle w:val="hps"/>
        </w:rPr>
        <w:t>ός</w:t>
      </w:r>
      <w:r w:rsidR="00EC6DC9" w:rsidRPr="00EC6DC9">
        <w:rPr>
          <w:rStyle w:val="hps"/>
        </w:rPr>
        <w:t xml:space="preserve"> να προσφέρ</w:t>
      </w:r>
      <w:r w:rsidR="00920A53">
        <w:rPr>
          <w:rStyle w:val="hps"/>
        </w:rPr>
        <w:t xml:space="preserve">ει διαφορετικές </w:t>
      </w:r>
      <w:r w:rsidR="00202320">
        <w:rPr>
          <w:rStyle w:val="hps"/>
        </w:rPr>
        <w:t>οπτικές’</w:t>
      </w:r>
      <w:r w:rsidR="00920A53">
        <w:rPr>
          <w:rStyle w:val="hps"/>
        </w:rPr>
        <w:t xml:space="preserve"> ο</w:t>
      </w:r>
      <w:r w:rsidR="00EC6DC9" w:rsidRPr="00EC6DC9">
        <w:rPr>
          <w:rStyle w:val="hps"/>
        </w:rPr>
        <w:t xml:space="preserve"> ερευνητής, </w:t>
      </w:r>
      <w:r w:rsidR="00920A53">
        <w:rPr>
          <w:rStyle w:val="hps"/>
        </w:rPr>
        <w:t xml:space="preserve">που είναι </w:t>
      </w:r>
      <w:r w:rsidR="00EC6DC9" w:rsidRPr="00EC6DC9">
        <w:rPr>
          <w:rStyle w:val="hps"/>
        </w:rPr>
        <w:t xml:space="preserve">σε θέση να </w:t>
      </w:r>
      <w:r w:rsidR="00920A53">
        <w:rPr>
          <w:rStyle w:val="hps"/>
        </w:rPr>
        <w:t>συστηματοποιήσει και να παράσχει την ανάλυση που τεκμηριώνει</w:t>
      </w:r>
      <w:r w:rsidR="00EC6DC9" w:rsidRPr="00EC6DC9">
        <w:rPr>
          <w:rStyle w:val="hps"/>
        </w:rPr>
        <w:t xml:space="preserve"> τις διαδικασίες της μάθησης και της διδασκαλίας.</w:t>
      </w:r>
      <w:r w:rsidR="00C337F0" w:rsidRPr="00EC6DC9">
        <w:rPr>
          <w:rStyle w:val="hps"/>
        </w:rPr>
        <w:t xml:space="preserve"> </w:t>
      </w:r>
      <w:r w:rsidR="00920A53">
        <w:rPr>
          <w:rStyle w:val="hps"/>
        </w:rPr>
        <w:t>Το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μάθημα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θα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στηριχθεί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στις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μελέτες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περίπτωσης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πάνω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στις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προβληματικές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καταστάσεις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του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ενδιαφέροντος στην περιβαλλοντική εκπαίδευση και την αειφόρο ανάπτυξη.</w:t>
      </w:r>
      <w:r w:rsidR="00C337F0" w:rsidRPr="00920A53">
        <w:rPr>
          <w:rStyle w:val="hps"/>
        </w:rPr>
        <w:t xml:space="preserve"> </w:t>
      </w:r>
      <w:r w:rsidR="00920A53">
        <w:rPr>
          <w:rStyle w:val="hps"/>
        </w:rPr>
        <w:t>Το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μάθημα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αφορά</w:t>
      </w:r>
      <w:r w:rsidR="00920A53" w:rsidRPr="00920A53">
        <w:rPr>
          <w:rStyle w:val="hps"/>
        </w:rPr>
        <w:t xml:space="preserve"> </w:t>
      </w:r>
      <w:r w:rsidR="00202320">
        <w:rPr>
          <w:rStyle w:val="hps"/>
        </w:rPr>
        <w:t xml:space="preserve">σε </w:t>
      </w:r>
      <w:r w:rsidR="00920A53">
        <w:rPr>
          <w:rStyle w:val="hps"/>
        </w:rPr>
        <w:t>εκπαιδευόμενους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από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διαφορετικές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βαθμίδες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μαθημάτων</w:t>
      </w:r>
      <w:r w:rsidR="00920A53" w:rsidRPr="00920A53">
        <w:rPr>
          <w:rStyle w:val="hps"/>
        </w:rPr>
        <w:t xml:space="preserve">, </w:t>
      </w:r>
      <w:r w:rsidR="00920A53">
        <w:rPr>
          <w:rStyle w:val="hps"/>
        </w:rPr>
        <w:t>δασκάλους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σχολείων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και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εκπαιδευτές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που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εργάζονται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σε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τοπικά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ιδρύματα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και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απασχολούνται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σε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διαφορετικές</w:t>
      </w:r>
      <w:r w:rsidR="00920A53" w:rsidRPr="00920A53">
        <w:rPr>
          <w:rStyle w:val="hps"/>
        </w:rPr>
        <w:t xml:space="preserve"> </w:t>
      </w:r>
      <w:r w:rsidR="00920A53">
        <w:rPr>
          <w:rStyle w:val="hps"/>
        </w:rPr>
        <w:t>τοποθεσίες</w:t>
      </w:r>
      <w:r w:rsidR="00920A53" w:rsidRPr="00920A53">
        <w:rPr>
          <w:rStyle w:val="hps"/>
        </w:rPr>
        <w:t xml:space="preserve">: </w:t>
      </w:r>
      <w:r w:rsidR="00920A53">
        <w:rPr>
          <w:rStyle w:val="hps"/>
        </w:rPr>
        <w:t>πανεπιστήμια, σχολεία και μουσεία, που ανταποκρίνονται στο ευρύ κοινό.</w:t>
      </w:r>
      <w:r w:rsidR="00C337F0" w:rsidRPr="00920A53">
        <w:rPr>
          <w:rStyle w:val="hps"/>
        </w:rPr>
        <w:t xml:space="preserve"> </w:t>
      </w:r>
      <w:r w:rsidR="008A1116">
        <w:rPr>
          <w:rStyle w:val="hps"/>
        </w:rPr>
        <w:t>Η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αξιολόγηση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είναι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αναπτυξιακή</w:t>
      </w:r>
      <w:r w:rsidR="008A1116" w:rsidRPr="008A1116">
        <w:rPr>
          <w:rStyle w:val="hps"/>
        </w:rPr>
        <w:t xml:space="preserve">, </w:t>
      </w:r>
      <w:r w:rsidR="008A1116">
        <w:rPr>
          <w:rStyle w:val="hps"/>
        </w:rPr>
        <w:t>προσπαθώντας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να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αναπτύξει</w:t>
      </w:r>
      <w:r w:rsidR="008A1116" w:rsidRPr="008A1116">
        <w:rPr>
          <w:rStyle w:val="hps"/>
        </w:rPr>
        <w:t xml:space="preserve"> –</w:t>
      </w:r>
      <w:r w:rsidR="008A1116">
        <w:rPr>
          <w:rStyle w:val="hps"/>
        </w:rPr>
        <w:t>εμμέσως</w:t>
      </w:r>
      <w:r w:rsidR="008A1116" w:rsidRPr="008A1116">
        <w:rPr>
          <w:rStyle w:val="hps"/>
        </w:rPr>
        <w:t xml:space="preserve">- </w:t>
      </w:r>
      <w:r w:rsidR="008A1116">
        <w:rPr>
          <w:rStyle w:val="hps"/>
        </w:rPr>
        <w:t>την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ικανότητα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ανάλυσης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και</w:t>
      </w:r>
      <w:r w:rsidR="008A1116" w:rsidRPr="008A1116">
        <w:rPr>
          <w:rStyle w:val="hps"/>
        </w:rPr>
        <w:t xml:space="preserve"> </w:t>
      </w:r>
      <w:r w:rsidR="008A1116">
        <w:rPr>
          <w:rStyle w:val="hps"/>
        </w:rPr>
        <w:t>τεκμηρίωσης των φαινομένων του περιβαλλοντικού ενδιαφέροντος.</w:t>
      </w:r>
    </w:p>
    <w:p w:rsidR="001E1BE5" w:rsidRPr="008A1116" w:rsidRDefault="001E1BE5" w:rsidP="001E1BE5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-51"/>
        <w:tblW w:w="54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207"/>
        <w:gridCol w:w="4556"/>
        <w:gridCol w:w="2065"/>
      </w:tblGrid>
      <w:tr w:rsidR="001E1BE5" w:rsidRPr="001E1BE5" w:rsidTr="000A6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548DD4" w:themeFill="text2" w:themeFillTint="99"/>
          </w:tcPr>
          <w:p w:rsidR="001E1BE5" w:rsidRPr="000A6503" w:rsidRDefault="000A6503" w:rsidP="001E1BE5">
            <w:pPr>
              <w:jc w:val="center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ΜΑΘΗΜΑ 1</w:t>
            </w:r>
          </w:p>
        </w:tc>
        <w:tc>
          <w:tcPr>
            <w:tcW w:w="653" w:type="pct"/>
            <w:shd w:val="clear" w:color="auto" w:fill="548DD4" w:themeFill="text2" w:themeFillTint="99"/>
          </w:tcPr>
          <w:p w:rsidR="001E1BE5" w:rsidRPr="000A6503" w:rsidRDefault="000A6503" w:rsidP="001E1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 w:rsidRPr="000A6503">
              <w:rPr>
                <w:rFonts w:ascii="Calibri" w:hAnsi="Calibri"/>
                <w:color w:val="FFFFFF"/>
                <w:szCs w:val="28"/>
                <w:lang w:val="el-GR"/>
              </w:rPr>
              <w:t>Πιστωτικές Μονάδες</w:t>
            </w:r>
          </w:p>
        </w:tc>
        <w:tc>
          <w:tcPr>
            <w:tcW w:w="2465" w:type="pct"/>
            <w:shd w:val="clear" w:color="auto" w:fill="548DD4" w:themeFill="text2" w:themeFillTint="99"/>
          </w:tcPr>
          <w:p w:rsidR="001E1BE5" w:rsidRPr="000A6503" w:rsidRDefault="000A6503" w:rsidP="001E1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ΠΕΡΙΕΧΟΜΕΝΟ</w:t>
            </w:r>
          </w:p>
        </w:tc>
        <w:tc>
          <w:tcPr>
            <w:tcW w:w="1117" w:type="pct"/>
            <w:shd w:val="clear" w:color="auto" w:fill="548DD4" w:themeFill="text2" w:themeFillTint="99"/>
          </w:tcPr>
          <w:p w:rsidR="001E1BE5" w:rsidRPr="001E1BE5" w:rsidRDefault="000A6503" w:rsidP="000A6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ΜΕΘΟΔΟΣ</w:t>
            </w:r>
            <w:r>
              <w:rPr>
                <w:rFonts w:ascii="Calibri" w:hAnsi="Calibri"/>
                <w:color w:val="FFFFFF"/>
                <w:sz w:val="28"/>
                <w:szCs w:val="28"/>
                <w:lang w:val="en-US"/>
              </w:rPr>
              <w:t>/</w:t>
            </w: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ΕΡΓΑΛΕΙΟ</w:t>
            </w:r>
          </w:p>
        </w:tc>
      </w:tr>
      <w:tr w:rsidR="001E1BE5" w:rsidRPr="001E1BE5" w:rsidTr="000A6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</w:tcPr>
          <w:p w:rsidR="001E1BE5" w:rsidRPr="001E1BE5" w:rsidRDefault="000A6503" w:rsidP="001E1BE5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t>Ενότητα</w:t>
            </w:r>
            <w:r w:rsidR="001E1BE5" w:rsidRPr="001E1BE5">
              <w:rPr>
                <w:rFonts w:ascii="Calibri" w:hAnsi="Calibri"/>
                <w:sz w:val="24"/>
                <w:lang w:val="en-US"/>
              </w:rPr>
              <w:t xml:space="preserve"> 1 </w:t>
            </w:r>
          </w:p>
          <w:p w:rsidR="001E1BE5" w:rsidRPr="001E1BE5" w:rsidRDefault="001E1BE5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653" w:type="pct"/>
          </w:tcPr>
          <w:p w:rsidR="001E1BE5" w:rsidRPr="001E1BE5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SimSun" w:hAnsi="Calibri" w:cs="Times New Roman"/>
                <w:bCs/>
                <w:sz w:val="24"/>
                <w:lang w:val="en-US"/>
              </w:rPr>
              <w:t xml:space="preserve">3 </w:t>
            </w:r>
          </w:p>
        </w:tc>
        <w:tc>
          <w:tcPr>
            <w:tcW w:w="2465" w:type="pct"/>
          </w:tcPr>
          <w:p w:rsidR="00C479A7" w:rsidRPr="000A6503" w:rsidRDefault="000A6503" w:rsidP="00C479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Θέμα</w:t>
            </w:r>
            <w:r w:rsidR="00C479A7" w:rsidRPr="000A6503">
              <w:rPr>
                <w:lang w:val="el-GR"/>
              </w:rPr>
              <w:t xml:space="preserve"> 1: </w:t>
            </w:r>
            <w:r>
              <w:rPr>
                <w:lang w:val="el-GR"/>
              </w:rPr>
              <w:t>Έρευνα</w:t>
            </w:r>
            <w:r w:rsidRPr="000A65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</w:t>
            </w:r>
            <w:r w:rsidR="00FC1B3A">
              <w:rPr>
                <w:lang w:val="el-GR"/>
              </w:rPr>
              <w:t xml:space="preserve">, </w:t>
            </w:r>
            <w:proofErr w:type="spellStart"/>
            <w:r>
              <w:rPr>
                <w:lang w:val="el-GR"/>
              </w:rPr>
              <w:t>αναστοχασμός</w:t>
            </w:r>
            <w:proofErr w:type="spellEnd"/>
            <w:r w:rsidRPr="000A65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0A65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 μέθοδοι</w:t>
            </w:r>
          </w:p>
          <w:p w:rsidR="001E1BE5" w:rsidRPr="001E1BE5" w:rsidRDefault="000A6503" w:rsidP="000A65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>
              <w:rPr>
                <w:lang w:val="el-GR"/>
              </w:rPr>
              <w:t>Θέμα</w:t>
            </w:r>
            <w:r w:rsidR="00C479A7">
              <w:rPr>
                <w:lang w:val="en-US"/>
              </w:rPr>
              <w:t xml:space="preserve"> 2: </w:t>
            </w:r>
            <w:r>
              <w:rPr>
                <w:lang w:val="el-GR"/>
              </w:rPr>
              <w:t>Ανάλυση μελέτης περίπτωσης</w:t>
            </w:r>
          </w:p>
        </w:tc>
        <w:tc>
          <w:tcPr>
            <w:tcW w:w="1117" w:type="pct"/>
          </w:tcPr>
          <w:p w:rsidR="001E1BE5" w:rsidRPr="000A6503" w:rsidRDefault="00202320" w:rsidP="000A65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lang w:val="el-GR"/>
              </w:rPr>
              <w:t>Μετωπική</w:t>
            </w:r>
            <w:r w:rsidR="000A6503">
              <w:rPr>
                <w:lang w:val="el-GR"/>
              </w:rPr>
              <w:t xml:space="preserve"> διδασκαλία</w:t>
            </w:r>
            <w:r w:rsidR="00660C4C">
              <w:rPr>
                <w:lang w:val="en-US"/>
              </w:rPr>
              <w:t xml:space="preserve"> / </w:t>
            </w:r>
            <w:r w:rsidR="000A6503">
              <w:rPr>
                <w:lang w:val="el-GR"/>
              </w:rPr>
              <w:t>Εργαστήρια</w:t>
            </w:r>
          </w:p>
        </w:tc>
      </w:tr>
      <w:tr w:rsidR="000A6503" w:rsidRPr="001E1BE5" w:rsidTr="000A65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auto"/>
          </w:tcPr>
          <w:p w:rsidR="000A6503" w:rsidRPr="001E1BE5" w:rsidRDefault="000A6503" w:rsidP="00825076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t>Ενότητα</w:t>
            </w:r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r>
              <w:rPr>
                <w:rFonts w:ascii="Calibri" w:hAnsi="Calibri"/>
                <w:sz w:val="24"/>
                <w:lang w:val="el-GR"/>
              </w:rPr>
              <w:t>2</w:t>
            </w:r>
            <w:r w:rsidRPr="001E1BE5">
              <w:rPr>
                <w:rFonts w:ascii="Calibri" w:hAnsi="Calibri"/>
                <w:sz w:val="24"/>
                <w:lang w:val="en-US"/>
              </w:rPr>
              <w:t xml:space="preserve"> </w:t>
            </w:r>
          </w:p>
          <w:p w:rsidR="000A6503" w:rsidRPr="001E1BE5" w:rsidRDefault="000A6503" w:rsidP="00825076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653" w:type="pct"/>
            <w:shd w:val="clear" w:color="auto" w:fill="auto"/>
          </w:tcPr>
          <w:p w:rsidR="000A6503" w:rsidRPr="001E1BE5" w:rsidRDefault="000A6503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Calibri" w:hAnsi="Calibri" w:cs="Times New Roman"/>
                <w:sz w:val="24"/>
                <w:lang w:val="en-US"/>
              </w:rPr>
              <w:t>3</w:t>
            </w:r>
          </w:p>
        </w:tc>
        <w:tc>
          <w:tcPr>
            <w:tcW w:w="2465" w:type="pct"/>
            <w:shd w:val="clear" w:color="auto" w:fill="auto"/>
          </w:tcPr>
          <w:p w:rsidR="000A6503" w:rsidRPr="00912047" w:rsidRDefault="000A6503" w:rsidP="00C479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lang w:val="el-GR"/>
              </w:rPr>
              <w:t>Θέμα</w:t>
            </w:r>
            <w:r w:rsidR="00912047">
              <w:rPr>
                <w:lang w:val="el-GR"/>
              </w:rPr>
              <w:t xml:space="preserve"> 3</w:t>
            </w:r>
            <w:r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: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Εγκάρσιες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δεξιότητες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στην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περιβαλλοντική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εκπαίδευση</w:t>
            </w:r>
          </w:p>
          <w:p w:rsidR="000A6503" w:rsidRPr="00912047" w:rsidRDefault="000A6503" w:rsidP="009120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rFonts w:ascii="Calibri" w:eastAsia="Calibri" w:hAnsi="Calibri" w:cs="Times New Roman"/>
                <w:sz w:val="24"/>
                <w:lang w:val="el-GR"/>
              </w:rPr>
              <w:t>Θέμα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4</w:t>
            </w:r>
            <w:r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: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Η πολυπλοκότητα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της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βιοποικιλότητας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και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ο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αντίκτυπος στις τοπικές κοινωνίες</w:t>
            </w:r>
          </w:p>
        </w:tc>
        <w:tc>
          <w:tcPr>
            <w:tcW w:w="1117" w:type="pct"/>
            <w:shd w:val="clear" w:color="auto" w:fill="auto"/>
          </w:tcPr>
          <w:p w:rsidR="000A6503" w:rsidRPr="001E1BE5" w:rsidRDefault="00202320" w:rsidP="008813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>
              <w:rPr>
                <w:lang w:val="el-GR"/>
              </w:rPr>
              <w:t>Μετωπική διδασκαλία</w:t>
            </w:r>
            <w:r w:rsidR="000A6503">
              <w:rPr>
                <w:lang w:val="en-US"/>
              </w:rPr>
              <w:t xml:space="preserve"> / </w:t>
            </w:r>
            <w:r w:rsidR="000A6503">
              <w:rPr>
                <w:lang w:val="el-GR"/>
              </w:rPr>
              <w:t>Εργαστήρια</w:t>
            </w:r>
          </w:p>
        </w:tc>
      </w:tr>
      <w:tr w:rsidR="000A6503" w:rsidRPr="001E1BE5" w:rsidTr="000A6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</w:tcPr>
          <w:p w:rsidR="000A6503" w:rsidRPr="001E1BE5" w:rsidRDefault="000A6503" w:rsidP="000A6503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lastRenderedPageBreak/>
              <w:t>Ενότητα</w:t>
            </w:r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r>
              <w:rPr>
                <w:rFonts w:ascii="Calibri" w:hAnsi="Calibri"/>
                <w:sz w:val="24"/>
                <w:lang w:val="el-GR"/>
              </w:rPr>
              <w:t>3</w:t>
            </w:r>
            <w:r w:rsidRPr="001E1BE5">
              <w:rPr>
                <w:rFonts w:ascii="Calibri" w:hAnsi="Calibri"/>
                <w:sz w:val="24"/>
                <w:lang w:val="en-US"/>
              </w:rPr>
              <w:t xml:space="preserve"> </w:t>
            </w:r>
          </w:p>
          <w:p w:rsidR="000A6503" w:rsidRPr="001E1BE5" w:rsidRDefault="000A6503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653" w:type="pct"/>
          </w:tcPr>
          <w:p w:rsidR="000A6503" w:rsidRPr="001E1BE5" w:rsidRDefault="000A6503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Calibri" w:hAnsi="Calibri" w:cs="Times New Roman"/>
                <w:sz w:val="24"/>
                <w:lang w:val="en-US"/>
              </w:rPr>
              <w:t>3</w:t>
            </w:r>
          </w:p>
        </w:tc>
        <w:tc>
          <w:tcPr>
            <w:tcW w:w="2465" w:type="pct"/>
          </w:tcPr>
          <w:p w:rsidR="00912047" w:rsidRDefault="000A6503" w:rsidP="00912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 w:rsidRPr="00726C58">
              <w:rPr>
                <w:rFonts w:ascii="Calibri" w:eastAsia="Calibri" w:hAnsi="Calibri" w:cs="Times New Roman"/>
                <w:sz w:val="24"/>
                <w:lang w:val="en-US"/>
              </w:rPr>
              <w:t>Topic</w:t>
            </w:r>
            <w:r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5:  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>Βασικές ιδέες και οριζόντι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ες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έννοιες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σ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>τη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ν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επιστ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ημονική</w:t>
            </w:r>
            <w:r w:rsidR="00912047"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εκπαίδευση</w:t>
            </w:r>
            <w:r w:rsidRPr="00912047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</w:p>
          <w:p w:rsidR="000A6503" w:rsidRPr="001E1BE5" w:rsidRDefault="000A6503" w:rsidP="00912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726C58">
              <w:rPr>
                <w:rFonts w:ascii="Calibri" w:eastAsia="Calibri" w:hAnsi="Calibri" w:cs="Times New Roman"/>
                <w:sz w:val="24"/>
                <w:lang w:val="en-US"/>
              </w:rPr>
              <w:t xml:space="preserve">Topic 6: </w:t>
            </w:r>
            <w:r w:rsidR="00912047">
              <w:rPr>
                <w:rFonts w:ascii="Calibri" w:eastAsia="Calibri" w:hAnsi="Calibri" w:cs="Times New Roman"/>
                <w:sz w:val="24"/>
                <w:lang w:val="el-GR"/>
              </w:rPr>
              <w:t>Περίπλοκα συστήματα</w:t>
            </w:r>
          </w:p>
        </w:tc>
        <w:tc>
          <w:tcPr>
            <w:tcW w:w="1117" w:type="pct"/>
          </w:tcPr>
          <w:p w:rsidR="000A6503" w:rsidRPr="001E1BE5" w:rsidRDefault="00202320" w:rsidP="00881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>
              <w:rPr>
                <w:lang w:val="el-GR"/>
              </w:rPr>
              <w:t>Μετωπική διδασκαλία</w:t>
            </w:r>
            <w:r w:rsidR="000A6503">
              <w:rPr>
                <w:lang w:val="en-US"/>
              </w:rPr>
              <w:t xml:space="preserve"> / </w:t>
            </w:r>
            <w:r w:rsidR="000A6503">
              <w:rPr>
                <w:lang w:val="el-GR"/>
              </w:rPr>
              <w:t>Εργαστήρια</w:t>
            </w:r>
          </w:p>
        </w:tc>
      </w:tr>
      <w:tr w:rsidR="000A6503" w:rsidRPr="000A6503" w:rsidTr="000A65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auto"/>
          </w:tcPr>
          <w:p w:rsidR="000A6503" w:rsidRPr="000A6503" w:rsidRDefault="000A6503" w:rsidP="001E1BE5">
            <w:pPr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Μελέτη περίπτωσης</w:t>
            </w:r>
          </w:p>
          <w:p w:rsidR="000A6503" w:rsidRPr="001E1BE5" w:rsidRDefault="000A6503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653" w:type="pct"/>
            <w:shd w:val="clear" w:color="auto" w:fill="auto"/>
          </w:tcPr>
          <w:p w:rsidR="000A6503" w:rsidRPr="001E1BE5" w:rsidRDefault="000A6503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lang w:val="en-US"/>
              </w:rPr>
              <w:t>6</w:t>
            </w:r>
          </w:p>
        </w:tc>
        <w:tc>
          <w:tcPr>
            <w:tcW w:w="2465" w:type="pct"/>
            <w:shd w:val="clear" w:color="auto" w:fill="auto"/>
          </w:tcPr>
          <w:p w:rsidR="000A6503" w:rsidRPr="00912047" w:rsidRDefault="000A6503" w:rsidP="009120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lang w:val="en-US"/>
              </w:rPr>
              <w:t>Topic</w:t>
            </w:r>
            <w:r w:rsidRPr="00912047">
              <w:rPr>
                <w:lang w:val="el-GR"/>
              </w:rPr>
              <w:t xml:space="preserve"> </w:t>
            </w:r>
            <w:r w:rsidR="00E85E78">
              <w:rPr>
                <w:lang w:val="el-GR"/>
              </w:rPr>
              <w:t xml:space="preserve"> </w:t>
            </w:r>
            <w:r w:rsidRPr="00912047">
              <w:rPr>
                <w:lang w:val="el-GR"/>
              </w:rPr>
              <w:t xml:space="preserve">7: </w:t>
            </w:r>
            <w:r w:rsidR="00912047" w:rsidRPr="00912047">
              <w:rPr>
                <w:lang w:val="el-GR"/>
              </w:rPr>
              <w:t>Ανακύκλωση και βιώσιμη διαχείριση των φυσικών πόρων</w:t>
            </w:r>
            <w:bookmarkStart w:id="0" w:name="_GoBack"/>
            <w:bookmarkEnd w:id="0"/>
          </w:p>
        </w:tc>
        <w:tc>
          <w:tcPr>
            <w:tcW w:w="1117" w:type="pct"/>
            <w:shd w:val="clear" w:color="auto" w:fill="auto"/>
          </w:tcPr>
          <w:p w:rsidR="000A6503" w:rsidRPr="000A6503" w:rsidRDefault="00202320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lang w:val="el-GR"/>
              </w:rPr>
              <w:t>Μετωπική διδασκαλία</w:t>
            </w:r>
            <w:r w:rsidR="000A6503" w:rsidRPr="000A6503">
              <w:rPr>
                <w:lang w:val="el-GR"/>
              </w:rPr>
              <w:t xml:space="preserve"> / </w:t>
            </w:r>
            <w:r w:rsidR="000A6503">
              <w:rPr>
                <w:lang w:val="el-GR"/>
              </w:rPr>
              <w:t>Εργαστήρια/ Έρευνα πεδίου</w:t>
            </w:r>
          </w:p>
        </w:tc>
      </w:tr>
    </w:tbl>
    <w:p w:rsidR="00B123DD" w:rsidRPr="000A6503" w:rsidRDefault="00B123DD" w:rsidP="00B123DD"/>
    <w:sectPr w:rsidR="00B123DD" w:rsidRPr="000A6503" w:rsidSect="001E1BE5">
      <w:headerReference w:type="default" r:id="rId6"/>
      <w:pgSz w:w="11906" w:h="16838"/>
      <w:pgMar w:top="1440" w:right="1800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951" w:rsidRDefault="00744951" w:rsidP="001E1BE5">
      <w:pPr>
        <w:spacing w:after="0" w:line="240" w:lineRule="auto"/>
      </w:pPr>
      <w:r>
        <w:separator/>
      </w:r>
    </w:p>
  </w:endnote>
  <w:endnote w:type="continuationSeparator" w:id="0">
    <w:p w:rsidR="00744951" w:rsidRDefault="00744951" w:rsidP="001E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951" w:rsidRDefault="00744951" w:rsidP="001E1BE5">
      <w:pPr>
        <w:spacing w:after="0" w:line="240" w:lineRule="auto"/>
      </w:pPr>
      <w:r>
        <w:separator/>
      </w:r>
    </w:p>
  </w:footnote>
  <w:footnote w:type="continuationSeparator" w:id="0">
    <w:p w:rsidR="00744951" w:rsidRDefault="00744951" w:rsidP="001E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BE5" w:rsidRDefault="001E1BE5" w:rsidP="001E1BE5">
    <w:pPr>
      <w:pStyle w:val="a3"/>
      <w:rPr>
        <w:b/>
        <w:sz w:val="28"/>
        <w:lang w:val="en-US"/>
      </w:rPr>
    </w:pPr>
    <w:r>
      <w:rPr>
        <w:b/>
        <w:noProof/>
        <w:sz w:val="28"/>
        <w:lang w:eastAsia="el-GR"/>
      </w:rPr>
      <w:drawing>
        <wp:inline distT="0" distB="0" distL="0" distR="0">
          <wp:extent cx="1080000" cy="317647"/>
          <wp:effectExtent l="0" t="0" r="6350" b="635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317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8"/>
        <w:lang w:val="en-US"/>
      </w:rPr>
      <w:t xml:space="preserve"> </w:t>
    </w:r>
    <w:r>
      <w:rPr>
        <w:b/>
        <w:sz w:val="28"/>
        <w:lang w:val="en-US"/>
      </w:rPr>
      <w:tab/>
      <w:t xml:space="preserve">                  </w:t>
    </w:r>
    <w:r>
      <w:rPr>
        <w:b/>
        <w:sz w:val="28"/>
        <w:lang w:val="en-US"/>
      </w:rPr>
      <w:tab/>
    </w:r>
    <w:r w:rsidR="002370C0">
      <w:rPr>
        <w:b/>
        <w:noProof/>
        <w:sz w:val="28"/>
        <w:lang w:eastAsia="el-GR"/>
      </w:rPr>
      <w:drawing>
        <wp:inline distT="0" distB="0" distL="0" distR="0">
          <wp:extent cx="590337" cy="587713"/>
          <wp:effectExtent l="19050" t="0" r="213" b="0"/>
          <wp:docPr id="4" name="Immagine 2" descr="C:\Users\Caterina\Desktop\EPOQUE\O2\uni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aterina\Desktop\EPOQUE\O2\unin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900" cy="5862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28"/>
        <w:lang w:val="en-US"/>
      </w:rPr>
      <w:t xml:space="preserve">        </w:t>
    </w:r>
    <w:r>
      <w:rPr>
        <w:b/>
        <w:noProof/>
        <w:sz w:val="28"/>
        <w:lang w:eastAsia="el-GR"/>
      </w:rPr>
      <w:drawing>
        <wp:inline distT="0" distB="0" distL="0" distR="0">
          <wp:extent cx="315900" cy="540000"/>
          <wp:effectExtent l="0" t="0" r="825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I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1BE5" w:rsidRPr="00E10453" w:rsidRDefault="00AE0BEC" w:rsidP="001E1BE5">
    <w:pPr>
      <w:pStyle w:val="a3"/>
      <w:rPr>
        <w:lang w:val="en-US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-352425</wp:posOffset>
              </wp:positionH>
              <wp:positionV relativeFrom="paragraph">
                <wp:posOffset>45720</wp:posOffset>
              </wp:positionV>
              <wp:extent cx="6296025" cy="9525"/>
              <wp:effectExtent l="57150" t="38100" r="47625" b="85725"/>
              <wp:wrapNone/>
              <wp:docPr id="17" name="Ευθεία γραμμή σύνδεσης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960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38BAB9" id="Ευθεία γραμμή σύνδεσης 1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75pt,3.6pt" to="46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" strokecolor="#c0504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1E1BE5" w:rsidRDefault="001E1B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E5"/>
    <w:rsid w:val="00013670"/>
    <w:rsid w:val="00084F12"/>
    <w:rsid w:val="000A6503"/>
    <w:rsid w:val="000E5897"/>
    <w:rsid w:val="001479F2"/>
    <w:rsid w:val="001E1BE5"/>
    <w:rsid w:val="00202320"/>
    <w:rsid w:val="002370C0"/>
    <w:rsid w:val="00326AA8"/>
    <w:rsid w:val="003E1E5C"/>
    <w:rsid w:val="0043054B"/>
    <w:rsid w:val="00441C12"/>
    <w:rsid w:val="0048233C"/>
    <w:rsid w:val="005416DB"/>
    <w:rsid w:val="00555254"/>
    <w:rsid w:val="00632864"/>
    <w:rsid w:val="00660C4C"/>
    <w:rsid w:val="00675182"/>
    <w:rsid w:val="006A18E7"/>
    <w:rsid w:val="006B4653"/>
    <w:rsid w:val="00726C58"/>
    <w:rsid w:val="00744951"/>
    <w:rsid w:val="007565FD"/>
    <w:rsid w:val="007D088A"/>
    <w:rsid w:val="007E0289"/>
    <w:rsid w:val="0088134C"/>
    <w:rsid w:val="008A1116"/>
    <w:rsid w:val="00912047"/>
    <w:rsid w:val="00920A53"/>
    <w:rsid w:val="00AB4BB1"/>
    <w:rsid w:val="00AE0BEC"/>
    <w:rsid w:val="00B123DD"/>
    <w:rsid w:val="00B51800"/>
    <w:rsid w:val="00BA0FE1"/>
    <w:rsid w:val="00C337F0"/>
    <w:rsid w:val="00C479A7"/>
    <w:rsid w:val="00CC4396"/>
    <w:rsid w:val="00D57E8F"/>
    <w:rsid w:val="00DE3D68"/>
    <w:rsid w:val="00E10E97"/>
    <w:rsid w:val="00E85E78"/>
    <w:rsid w:val="00EC6DC9"/>
    <w:rsid w:val="00F95623"/>
    <w:rsid w:val="00FC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B3CA83-E500-45A4-878C-09533FFE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51">
    <w:name w:val="Ανοιχτόχρωμο πλέγμα - ΄Εμφαση 51"/>
    <w:basedOn w:val="a1"/>
    <w:next w:val="-5"/>
    <w:uiPriority w:val="62"/>
    <w:rsid w:val="001E1BE5"/>
    <w:pPr>
      <w:spacing w:after="0" w:line="240" w:lineRule="auto"/>
    </w:pPr>
    <w:rPr>
      <w:lang w:val="fi-F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5">
    <w:name w:val="Light Grid Accent 5"/>
    <w:basedOn w:val="a1"/>
    <w:uiPriority w:val="62"/>
    <w:rsid w:val="001E1BE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1E1B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E1BE5"/>
  </w:style>
  <w:style w:type="paragraph" w:styleId="a4">
    <w:name w:val="footer"/>
    <w:basedOn w:val="a"/>
    <w:link w:val="Char0"/>
    <w:uiPriority w:val="99"/>
    <w:unhideWhenUsed/>
    <w:rsid w:val="001E1B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E1BE5"/>
  </w:style>
  <w:style w:type="paragraph" w:styleId="a5">
    <w:name w:val="Balloon Text"/>
    <w:basedOn w:val="a"/>
    <w:link w:val="Char1"/>
    <w:uiPriority w:val="99"/>
    <w:semiHidden/>
    <w:unhideWhenUsed/>
    <w:rsid w:val="001E1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E1BE5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C3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Athina</dc:creator>
  <cp:lastModifiedBy>Maria Topoliati</cp:lastModifiedBy>
  <cp:revision>2</cp:revision>
  <dcterms:created xsi:type="dcterms:W3CDTF">2017-03-20T18:21:00Z</dcterms:created>
  <dcterms:modified xsi:type="dcterms:W3CDTF">2017-03-20T18:21:00Z</dcterms:modified>
</cp:coreProperties>
</file>