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BE5" w:rsidRDefault="001E1BE5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36"/>
      </w:tblGrid>
      <w:tr w:rsidR="00C40789" w:rsidRPr="002F7354" w:rsidTr="00C40789">
        <w:tc>
          <w:tcPr>
            <w:tcW w:w="8762" w:type="dxa"/>
          </w:tcPr>
          <w:p w:rsidR="00C40789" w:rsidRPr="002F7354" w:rsidRDefault="002F7354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Τίτλος</w:t>
            </w:r>
            <w:r w:rsidRPr="002F7354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>Μαθήματος</w:t>
            </w:r>
            <w:r w:rsidR="00C40789" w:rsidRPr="002F7354">
              <w:rPr>
                <w:rFonts w:cstheme="minorHAnsi"/>
                <w:sz w:val="24"/>
                <w:szCs w:val="24"/>
              </w:rPr>
              <w:t xml:space="preserve">: </w:t>
            </w:r>
            <w:r>
              <w:rPr>
                <w:rFonts w:cstheme="minorHAnsi"/>
                <w:sz w:val="24"/>
                <w:szCs w:val="24"/>
              </w:rPr>
              <w:t>ΜΑΘΗΜΑ</w:t>
            </w:r>
            <w:r w:rsidR="00C40789" w:rsidRPr="002F7354">
              <w:rPr>
                <w:rFonts w:cstheme="minorHAnsi"/>
                <w:sz w:val="24"/>
                <w:szCs w:val="24"/>
              </w:rPr>
              <w:t xml:space="preserve"> </w:t>
            </w:r>
            <w:r w:rsidR="00C40789" w:rsidRPr="00C40789">
              <w:rPr>
                <w:rFonts w:cstheme="minorHAnsi"/>
                <w:sz w:val="24"/>
                <w:szCs w:val="24"/>
                <w:lang w:val="en-US"/>
              </w:rPr>
              <w:t>II</w:t>
            </w:r>
            <w:r w:rsidR="00C40789" w:rsidRPr="002F7354">
              <w:rPr>
                <w:rFonts w:cstheme="minorHAnsi"/>
                <w:b/>
                <w:sz w:val="24"/>
                <w:szCs w:val="24"/>
              </w:rPr>
              <w:t xml:space="preserve"> – </w:t>
            </w:r>
            <w:r>
              <w:rPr>
                <w:rFonts w:cstheme="minorHAnsi"/>
                <w:b/>
                <w:sz w:val="24"/>
                <w:szCs w:val="24"/>
              </w:rPr>
              <w:t>Η</w:t>
            </w:r>
            <w:r w:rsidRPr="002F7354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>Επικρατούσα</w:t>
            </w:r>
            <w:r w:rsidRPr="002F7354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>Κατάσταση</w:t>
            </w:r>
            <w:r w:rsidRPr="002F7354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>και</w:t>
            </w:r>
            <w:r w:rsidRPr="002F7354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>το</w:t>
            </w:r>
            <w:r w:rsidRPr="002F7354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>Μέλλον</w:t>
            </w:r>
            <w:r w:rsidRPr="002F7354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>της</w:t>
            </w:r>
            <w:r w:rsidRPr="002F7354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>Βαλτικής</w:t>
            </w:r>
            <w:r w:rsidRPr="002F7354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>και</w:t>
            </w:r>
            <w:r w:rsidRPr="002F7354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D127BB">
              <w:rPr>
                <w:rFonts w:cstheme="minorHAnsi"/>
                <w:b/>
                <w:sz w:val="24"/>
                <w:szCs w:val="24"/>
              </w:rPr>
              <w:t>της Μεσογείου</w:t>
            </w:r>
            <w:r w:rsidRPr="002F7354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>σε</w:t>
            </w:r>
            <w:r w:rsidRPr="002F7354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>μια</w:t>
            </w:r>
            <w:r w:rsidRPr="002F7354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>διεπιστημονική</w:t>
            </w:r>
            <w:r w:rsidRPr="002F7354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>προσέγγιση</w:t>
            </w:r>
            <w:r w:rsidR="00C40789" w:rsidRPr="002F7354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:rsidR="00C40789" w:rsidRPr="002F7354" w:rsidRDefault="00C40789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C40789" w:rsidRPr="002F7354" w:rsidTr="00C40789">
        <w:tc>
          <w:tcPr>
            <w:tcW w:w="8762" w:type="dxa"/>
          </w:tcPr>
          <w:p w:rsidR="00C40789" w:rsidRPr="002F7354" w:rsidRDefault="002F7354" w:rsidP="00C4078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Συμμετέχοντες</w:t>
            </w:r>
            <w:r w:rsidRPr="002F7354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>Φορείς</w:t>
            </w:r>
            <w:r w:rsidRPr="002F7354">
              <w:rPr>
                <w:rFonts w:cstheme="minorHAnsi"/>
                <w:b/>
                <w:sz w:val="24"/>
                <w:szCs w:val="24"/>
              </w:rPr>
              <w:t xml:space="preserve">: </w:t>
            </w:r>
            <w:r>
              <w:rPr>
                <w:rFonts w:cstheme="minorHAnsi"/>
                <w:b/>
                <w:sz w:val="24"/>
                <w:szCs w:val="24"/>
              </w:rPr>
              <w:t>Πανεπιστήμιο</w:t>
            </w:r>
            <w:r w:rsidRPr="002F7354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>Ιωαννίνων</w:t>
            </w:r>
            <w:r w:rsidRPr="002F7354">
              <w:rPr>
                <w:rFonts w:cstheme="minorHAnsi"/>
                <w:b/>
                <w:sz w:val="24"/>
                <w:szCs w:val="24"/>
              </w:rPr>
              <w:t xml:space="preserve">, </w:t>
            </w:r>
            <w:r>
              <w:rPr>
                <w:rFonts w:cstheme="minorHAnsi"/>
                <w:b/>
                <w:sz w:val="24"/>
                <w:szCs w:val="24"/>
              </w:rPr>
              <w:t>Πανεπιστήμιο</w:t>
            </w:r>
            <w:r w:rsidRPr="002F7354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>Ελσίνκι</w:t>
            </w:r>
          </w:p>
          <w:p w:rsidR="00C40789" w:rsidRPr="002F7354" w:rsidRDefault="00C4078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40789" w:rsidRPr="00E863C2" w:rsidTr="00C40789">
        <w:tc>
          <w:tcPr>
            <w:tcW w:w="8762" w:type="dxa"/>
          </w:tcPr>
          <w:p w:rsidR="00C40789" w:rsidRPr="002F7354" w:rsidRDefault="002F7354" w:rsidP="00C4078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ΠΕΡΙΓΡΑΦΗ</w:t>
            </w:r>
            <w:r w:rsidR="00C40789" w:rsidRPr="002F7354">
              <w:rPr>
                <w:rFonts w:cstheme="minorHAnsi"/>
                <w:sz w:val="24"/>
                <w:szCs w:val="24"/>
              </w:rPr>
              <w:t xml:space="preserve">: </w:t>
            </w:r>
          </w:p>
          <w:p w:rsidR="002F7354" w:rsidRPr="002F7354" w:rsidRDefault="002F7354" w:rsidP="00C40789">
            <w:pPr>
              <w:jc w:val="both"/>
              <w:rPr>
                <w:rFonts w:cstheme="minorHAnsi"/>
                <w:sz w:val="24"/>
                <w:szCs w:val="24"/>
              </w:rPr>
            </w:pPr>
            <w:r w:rsidRPr="002F7354">
              <w:rPr>
                <w:rFonts w:cstheme="minorHAnsi"/>
                <w:sz w:val="24"/>
                <w:szCs w:val="24"/>
              </w:rPr>
              <w:t>Αυτό το μάθημα διερευνά το παρόν κα</w:t>
            </w:r>
            <w:r w:rsidR="00AE6227">
              <w:rPr>
                <w:rFonts w:cstheme="minorHAnsi"/>
                <w:sz w:val="24"/>
                <w:szCs w:val="24"/>
              </w:rPr>
              <w:t xml:space="preserve">ι το μέλλον της Βαλτικής και </w:t>
            </w:r>
            <w:r w:rsidRPr="002F7354">
              <w:rPr>
                <w:rFonts w:cstheme="minorHAnsi"/>
                <w:sz w:val="24"/>
                <w:szCs w:val="24"/>
              </w:rPr>
              <w:t xml:space="preserve">της Μεσογείου, μέσω διεπιστημονικών προσεγγίσεων. Συγκεκριμένα, σχετικά με την περιοχή της Βαλτικής Θάλασσας, θα πρέπει να αναφερθεί </w:t>
            </w:r>
            <w:r w:rsidR="00AE6227">
              <w:rPr>
                <w:rFonts w:cstheme="minorHAnsi"/>
                <w:sz w:val="24"/>
                <w:szCs w:val="24"/>
              </w:rPr>
              <w:t>ότι περι</w:t>
            </w:r>
            <w:r>
              <w:rPr>
                <w:rFonts w:cstheme="minorHAnsi"/>
                <w:sz w:val="24"/>
                <w:szCs w:val="24"/>
              </w:rPr>
              <w:t>λαμβάνει πολλές χώρες και όλες</w:t>
            </w:r>
            <w:r w:rsidRPr="002F7354">
              <w:rPr>
                <w:rFonts w:cstheme="minorHAnsi"/>
                <w:sz w:val="24"/>
                <w:szCs w:val="24"/>
              </w:rPr>
              <w:t xml:space="preserve"> τους </w:t>
            </w:r>
            <w:r>
              <w:rPr>
                <w:rFonts w:cstheme="minorHAnsi"/>
                <w:sz w:val="24"/>
                <w:szCs w:val="24"/>
              </w:rPr>
              <w:t>ανήκουν στο Συμβούλιο</w:t>
            </w:r>
            <w:r w:rsidRPr="002F7354">
              <w:rPr>
                <w:rFonts w:cstheme="minorHAnsi"/>
                <w:sz w:val="24"/>
                <w:szCs w:val="24"/>
              </w:rPr>
              <w:t xml:space="preserve"> τ</w:t>
            </w:r>
            <w:r>
              <w:rPr>
                <w:rFonts w:cstheme="minorHAnsi"/>
                <w:sz w:val="24"/>
                <w:szCs w:val="24"/>
              </w:rPr>
              <w:t>ων Ηνωμένων Θαλά</w:t>
            </w:r>
            <w:r w:rsidRPr="002F7354">
              <w:rPr>
                <w:rFonts w:cstheme="minorHAnsi"/>
                <w:sz w:val="24"/>
                <w:szCs w:val="24"/>
              </w:rPr>
              <w:t>σσ</w:t>
            </w:r>
            <w:r>
              <w:rPr>
                <w:rFonts w:cstheme="minorHAnsi"/>
                <w:sz w:val="24"/>
                <w:szCs w:val="24"/>
              </w:rPr>
              <w:t>ιων Εθνών της</w:t>
            </w:r>
            <w:r w:rsidR="00AE6227">
              <w:rPr>
                <w:rFonts w:cstheme="minorHAnsi"/>
                <w:sz w:val="24"/>
                <w:szCs w:val="24"/>
              </w:rPr>
              <w:t xml:space="preserve"> Βαλτικής. Από την άλλη μερι</w:t>
            </w:r>
            <w:r w:rsidRPr="002F7354">
              <w:rPr>
                <w:rFonts w:cstheme="minorHAnsi"/>
                <w:sz w:val="24"/>
                <w:szCs w:val="24"/>
              </w:rPr>
              <w:t xml:space="preserve">ά, η Μεσόγειος Θάλασσα </w:t>
            </w:r>
            <w:r w:rsidR="00AE6227">
              <w:rPr>
                <w:rFonts w:cstheme="minorHAnsi"/>
                <w:sz w:val="24"/>
                <w:szCs w:val="24"/>
              </w:rPr>
              <w:t xml:space="preserve">βρέχει τμήματα </w:t>
            </w:r>
            <w:r w:rsidRPr="002F7354">
              <w:rPr>
                <w:rFonts w:cstheme="minorHAnsi"/>
                <w:sz w:val="24"/>
                <w:szCs w:val="24"/>
              </w:rPr>
              <w:t>τριών ηπείρων: της Αφρικής, της Ασίας και της Ευρώπης. Επιπλ</w:t>
            </w:r>
            <w:r>
              <w:rPr>
                <w:rFonts w:cstheme="minorHAnsi"/>
                <w:sz w:val="24"/>
                <w:szCs w:val="24"/>
              </w:rPr>
              <w:t>έον, η περιοχή αυτή χαρακτηρίζεται από</w:t>
            </w:r>
            <w:r w:rsidRPr="002F7354">
              <w:rPr>
                <w:rFonts w:cstheme="minorHAnsi"/>
                <w:sz w:val="24"/>
                <w:szCs w:val="24"/>
              </w:rPr>
              <w:t xml:space="preserve"> το μεσογειακό κλίμα, το οποίο είναι υπεύθυνο για την πλούσια χλωρίδα της σε ολόκληρη την περιοχή. Τέλος, και οι δύο αυτές περιο</w:t>
            </w:r>
            <w:r>
              <w:rPr>
                <w:rFonts w:cstheme="minorHAnsi"/>
                <w:sz w:val="24"/>
                <w:szCs w:val="24"/>
              </w:rPr>
              <w:t>χές αντιμετωπίζουν μια σειρά προβλημάτων</w:t>
            </w:r>
            <w:r w:rsidRPr="002F7354">
              <w:rPr>
                <w:rFonts w:cstheme="minorHAnsi"/>
                <w:sz w:val="24"/>
                <w:szCs w:val="24"/>
              </w:rPr>
              <w:t xml:space="preserve"> που σχ</w:t>
            </w:r>
            <w:r w:rsidR="00556ADE">
              <w:rPr>
                <w:rFonts w:cstheme="minorHAnsi"/>
                <w:sz w:val="24"/>
                <w:szCs w:val="24"/>
              </w:rPr>
              <w:t>ετίζονται με το περιβάλλον και σε αυτό το μάθημα, θα</w:t>
            </w:r>
            <w:r w:rsidR="007C139B">
              <w:rPr>
                <w:rFonts w:cstheme="minorHAnsi"/>
                <w:sz w:val="24"/>
                <w:szCs w:val="24"/>
              </w:rPr>
              <w:t xml:space="preserve"> προσπαθήσουμε να αναλύσουμε</w:t>
            </w:r>
            <w:r w:rsidR="00AE6227">
              <w:rPr>
                <w:rFonts w:cstheme="minorHAnsi"/>
                <w:sz w:val="24"/>
                <w:szCs w:val="24"/>
              </w:rPr>
              <w:t xml:space="preserve"> αυτά τα προβλήματα και</w:t>
            </w:r>
            <w:r w:rsidRPr="002F7354">
              <w:rPr>
                <w:rFonts w:cstheme="minorHAnsi"/>
                <w:sz w:val="24"/>
                <w:szCs w:val="24"/>
              </w:rPr>
              <w:t xml:space="preserve"> </w:t>
            </w:r>
            <w:r w:rsidR="00556ADE">
              <w:rPr>
                <w:rFonts w:cstheme="minorHAnsi"/>
                <w:sz w:val="24"/>
                <w:szCs w:val="24"/>
              </w:rPr>
              <w:t xml:space="preserve">να </w:t>
            </w:r>
            <w:r w:rsidRPr="002F7354">
              <w:rPr>
                <w:rFonts w:cstheme="minorHAnsi"/>
                <w:sz w:val="24"/>
                <w:szCs w:val="24"/>
              </w:rPr>
              <w:t>τα μελετήσ</w:t>
            </w:r>
            <w:r w:rsidR="00556ADE">
              <w:rPr>
                <w:rFonts w:cstheme="minorHAnsi"/>
                <w:sz w:val="24"/>
                <w:szCs w:val="24"/>
              </w:rPr>
              <w:t xml:space="preserve">ουμε σε βάθος ώστε </w:t>
            </w:r>
            <w:r w:rsidRPr="002F7354">
              <w:rPr>
                <w:rFonts w:cstheme="minorHAnsi"/>
                <w:sz w:val="24"/>
                <w:szCs w:val="24"/>
              </w:rPr>
              <w:t>να δ</w:t>
            </w:r>
            <w:r w:rsidR="00556ADE">
              <w:rPr>
                <w:rFonts w:cstheme="minorHAnsi"/>
                <w:sz w:val="24"/>
                <w:szCs w:val="24"/>
              </w:rPr>
              <w:t>οθούν</w:t>
            </w:r>
            <w:r w:rsidRPr="002F7354">
              <w:rPr>
                <w:rFonts w:cstheme="minorHAnsi"/>
                <w:sz w:val="24"/>
                <w:szCs w:val="24"/>
              </w:rPr>
              <w:t xml:space="preserve"> κάποιες λύσεις.</w:t>
            </w:r>
          </w:p>
          <w:p w:rsidR="00C40789" w:rsidRPr="00556ADE" w:rsidRDefault="00C40789" w:rsidP="00C40789">
            <w:pPr>
              <w:rPr>
                <w:rFonts w:cstheme="minorHAnsi"/>
                <w:sz w:val="24"/>
                <w:szCs w:val="24"/>
              </w:rPr>
            </w:pPr>
          </w:p>
          <w:p w:rsidR="00C40789" w:rsidRDefault="00556ADE" w:rsidP="00C40789">
            <w:pPr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</w:rPr>
              <w:t>Περιεχόμενο Μαθήματος</w:t>
            </w:r>
            <w:r w:rsidR="00C40789" w:rsidRPr="00C40789">
              <w:rPr>
                <w:rFonts w:cstheme="minorHAnsi"/>
                <w:b/>
                <w:sz w:val="24"/>
                <w:szCs w:val="24"/>
                <w:lang w:val="en-US"/>
              </w:rPr>
              <w:t>:</w:t>
            </w:r>
          </w:p>
          <w:p w:rsidR="00C40789" w:rsidRPr="006712D8" w:rsidRDefault="00556ADE" w:rsidP="00C40789">
            <w:pPr>
              <w:pStyle w:val="ListParagraph"/>
              <w:numPr>
                <w:ilvl w:val="0"/>
                <w:numId w:val="1"/>
              </w:numPr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</w:pPr>
            <w:r w:rsidRPr="006712D8"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  <w:t>Το ζήτημα των βλαβερών και τοξικών ουσιών από τα εργοστάσια, τις γεωργικές δραστηριότητες και τις θαλάσσιες μεταφορές, κ.λπ., τα οποία καταλήγουν στη Βαλτική Θάλασσα. Επίσης, η παράνομη κατάθεση καυσίμων από πλοία και αεροπλάνα. Προτεινόμενες λύσεις.</w:t>
            </w:r>
          </w:p>
          <w:p w:rsidR="00C40789" w:rsidRPr="006712D8" w:rsidRDefault="00556ADE" w:rsidP="00C40789">
            <w:pPr>
              <w:pStyle w:val="ListParagraph"/>
              <w:numPr>
                <w:ilvl w:val="0"/>
                <w:numId w:val="1"/>
              </w:numPr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</w:pPr>
            <w:r w:rsidRPr="006712D8"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  <w:t>Το πρόβλημα του ευτροφισμού, η εξαφάνιση των θαλάσσιων ειδών και η ποιότητα των υδάτων στη Βαλτική και τη Μεσόγειο Θάλασσα. Προτεινόμενες λύσεις.</w:t>
            </w:r>
          </w:p>
          <w:p w:rsidR="00C40789" w:rsidRPr="006712D8" w:rsidRDefault="00526986" w:rsidP="00C40789">
            <w:pPr>
              <w:pStyle w:val="ListParagraph"/>
              <w:numPr>
                <w:ilvl w:val="0"/>
                <w:numId w:val="1"/>
              </w:numPr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</w:pPr>
            <w:r w:rsidRPr="006712D8"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  <w:t>Μελέτη Περίπτωση</w:t>
            </w:r>
            <w:r w:rsidR="003E6DF5"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  <w:t>ς</w:t>
            </w:r>
            <w:r w:rsidRPr="006712D8"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  <w:t xml:space="preserve">: Σχέδιο Δράσης Βαλτικής. Απαραίτητη </w:t>
            </w:r>
            <w:proofErr w:type="spellStart"/>
            <w:r w:rsidRPr="006712D8"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  <w:t>Συμμετοχικότητα</w:t>
            </w:r>
            <w:proofErr w:type="spellEnd"/>
            <w:r w:rsidR="00C40789" w:rsidRPr="006712D8"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  <w:t>.</w:t>
            </w:r>
          </w:p>
          <w:p w:rsidR="00C40789" w:rsidRPr="006712D8" w:rsidRDefault="00526986" w:rsidP="00C40789">
            <w:pPr>
              <w:pStyle w:val="ListParagraph"/>
              <w:numPr>
                <w:ilvl w:val="0"/>
                <w:numId w:val="1"/>
              </w:numPr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</w:pPr>
            <w:r w:rsidRPr="006712D8"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  <w:t>Η ιστορία, η γεωλογία, το κλίμα και η βιοποικιλότητα της Βαλτικής και της Μεσογείου</w:t>
            </w:r>
            <w:r w:rsidR="00C40789" w:rsidRPr="006712D8"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  <w:t>.</w:t>
            </w:r>
          </w:p>
          <w:p w:rsidR="00C40789" w:rsidRPr="006712D8" w:rsidRDefault="00526986" w:rsidP="00C40789">
            <w:pPr>
              <w:pStyle w:val="ListParagraph"/>
              <w:numPr>
                <w:ilvl w:val="0"/>
                <w:numId w:val="1"/>
              </w:numPr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</w:pPr>
            <w:r w:rsidRPr="006712D8"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  <w:t>Μελέτη της οικονομικής, πολιτικής, κοινωνικής και πολιτισμικής κατάστασης των δύο περιοχών. Συγκρίσεις</w:t>
            </w:r>
            <w:r w:rsidR="00C40789" w:rsidRPr="006712D8"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  <w:t>.</w:t>
            </w:r>
          </w:p>
          <w:p w:rsidR="00C40789" w:rsidRPr="006712D8" w:rsidRDefault="00526986" w:rsidP="00526986">
            <w:pPr>
              <w:pStyle w:val="ListParagraph"/>
              <w:numPr>
                <w:ilvl w:val="0"/>
                <w:numId w:val="1"/>
              </w:numPr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</w:pPr>
            <w:r w:rsidRPr="006712D8"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  <w:t xml:space="preserve">Συγκέντρωση και </w:t>
            </w:r>
            <w:proofErr w:type="spellStart"/>
            <w:r w:rsidRPr="006712D8"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  <w:t>βιοσυσσώρευση</w:t>
            </w:r>
            <w:proofErr w:type="spellEnd"/>
            <w:r w:rsidRPr="006712D8"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  <w:t xml:space="preserve"> των </w:t>
            </w:r>
            <w:r w:rsidR="003E6DF5" w:rsidRPr="006712D8"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  <w:t>υπολειμμάτων</w:t>
            </w:r>
            <w:r w:rsidRPr="006712D8"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  <w:t xml:space="preserve"> από </w:t>
            </w:r>
            <w:proofErr w:type="spellStart"/>
            <w:r w:rsidRPr="006712D8"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  <w:t>οργανοχλωρικά</w:t>
            </w:r>
            <w:proofErr w:type="spellEnd"/>
            <w:r w:rsidRPr="006712D8"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  <w:t xml:space="preserve"> φυτοφάρμακα στους ερωδιούς και τα θήραμά τους που ζουν σε περιοχές της Μεσογείου.</w:t>
            </w:r>
          </w:p>
          <w:p w:rsidR="00C40789" w:rsidRPr="006712D8" w:rsidRDefault="00526986" w:rsidP="00526986">
            <w:pPr>
              <w:pStyle w:val="ListParagraph"/>
              <w:numPr>
                <w:ilvl w:val="0"/>
                <w:numId w:val="1"/>
              </w:numPr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</w:pPr>
            <w:r w:rsidRPr="006712D8"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  <w:t>Η κατάσταση της ρύπανσης φυτοφαρμάκων στα επιφανειακά ύδατα (ποτάμια και λίμνες) της Μεσογείου και της Βαλτικής Θάλασσας.</w:t>
            </w:r>
          </w:p>
          <w:p w:rsidR="00C40789" w:rsidRPr="006712D8" w:rsidRDefault="00526986" w:rsidP="00C40789">
            <w:pPr>
              <w:pStyle w:val="ListParagraph"/>
              <w:numPr>
                <w:ilvl w:val="0"/>
                <w:numId w:val="1"/>
              </w:numPr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</w:pPr>
            <w:r w:rsidRPr="006712D8"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  <w:t>Περιφερειακές προσπάθειες για την εξεύρεση λύσεων για τη συλλογική αντιμετώπιση των περιβαλλοντικών προβλημάτων στις χώρες που πλήττονται άμεσα.</w:t>
            </w:r>
          </w:p>
          <w:p w:rsidR="00C40789" w:rsidRPr="006712D8" w:rsidRDefault="00526986" w:rsidP="00C40789">
            <w:pPr>
              <w:pStyle w:val="ListParagraph"/>
              <w:numPr>
                <w:ilvl w:val="0"/>
                <w:numId w:val="1"/>
              </w:numPr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</w:pPr>
            <w:r w:rsidRPr="006712D8"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  <w:t xml:space="preserve">Οικολογική αξιολόγηση του κινδύνου των </w:t>
            </w:r>
            <w:proofErr w:type="spellStart"/>
            <w:r w:rsidRPr="006712D8"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  <w:t>αγροχημικών</w:t>
            </w:r>
            <w:proofErr w:type="spellEnd"/>
            <w:r w:rsidRPr="006712D8"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  <w:t xml:space="preserve"> στις Ευρωπαϊκές εκβολές.</w:t>
            </w:r>
            <w:r w:rsidR="00C40789" w:rsidRPr="006712D8"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  <w:t xml:space="preserve"> </w:t>
            </w:r>
          </w:p>
          <w:p w:rsidR="00526986" w:rsidRPr="006712D8" w:rsidRDefault="00526986" w:rsidP="00C40789">
            <w:pPr>
              <w:pStyle w:val="ListParagraph"/>
              <w:numPr>
                <w:ilvl w:val="0"/>
                <w:numId w:val="1"/>
              </w:numPr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</w:pPr>
            <w:r w:rsidRPr="006712D8"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  <w:t>Ενημέρωση και ευαισθητοποίηση σε όλους τους ευρωπαίους πολίτες και όχι μόνο για τους πολίτες των συγκεκριμένων περιοχών.</w:t>
            </w:r>
          </w:p>
          <w:p w:rsidR="00C30F26" w:rsidRPr="006712D8" w:rsidRDefault="00526986" w:rsidP="00C30F26">
            <w:pPr>
              <w:pStyle w:val="ListParagraph"/>
              <w:numPr>
                <w:ilvl w:val="0"/>
                <w:numId w:val="1"/>
              </w:numPr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</w:pPr>
            <w:r w:rsidRPr="006712D8"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  <w:lastRenderedPageBreak/>
              <w:t xml:space="preserve"> Ο αμφιλεγόμενος ρόλος της Ευρωπαϊκής Ένωσης σχετικά με τη συνεργασία  των δύο περιοχών. </w:t>
            </w:r>
          </w:p>
          <w:p w:rsidR="00C30F26" w:rsidRPr="00526986" w:rsidRDefault="00C30F26" w:rsidP="00C30F26">
            <w:pPr>
              <w:rPr>
                <w:rFonts w:ascii="DokChampa" w:hAnsi="DokChampa" w:cs="DokChampa"/>
                <w:sz w:val="24"/>
                <w:szCs w:val="24"/>
              </w:rPr>
            </w:pPr>
          </w:p>
          <w:p w:rsidR="00C30F26" w:rsidRPr="00C759EB" w:rsidRDefault="00526986" w:rsidP="00C30F26">
            <w:pPr>
              <w:jc w:val="both"/>
              <w:rPr>
                <w:rFonts w:ascii="DokChampa" w:hAnsi="DokChampa" w:cs="DokChampa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Διδακτικές Μέθοδοι των μαθημάτων</w:t>
            </w:r>
          </w:p>
          <w:p w:rsidR="00C30F26" w:rsidRPr="006712D8" w:rsidRDefault="00526986" w:rsidP="006712D8">
            <w:pPr>
              <w:pStyle w:val="ListParagraph"/>
              <w:numPr>
                <w:ilvl w:val="0"/>
                <w:numId w:val="1"/>
              </w:numPr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</w:pPr>
            <w:r w:rsidRPr="006712D8"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  <w:t>Διαλέξεις</w:t>
            </w:r>
          </w:p>
          <w:p w:rsidR="00C30F26" w:rsidRPr="006712D8" w:rsidRDefault="00526986" w:rsidP="006712D8">
            <w:pPr>
              <w:pStyle w:val="ListParagraph"/>
              <w:numPr>
                <w:ilvl w:val="0"/>
                <w:numId w:val="1"/>
              </w:numPr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</w:pPr>
            <w:r w:rsidRPr="006712D8"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  <w:t xml:space="preserve">Ομαδική </w:t>
            </w:r>
            <w:proofErr w:type="spellStart"/>
            <w:r w:rsidRPr="006712D8"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  <w:t>διαδασκαλία</w:t>
            </w:r>
            <w:proofErr w:type="spellEnd"/>
          </w:p>
          <w:p w:rsidR="00C30F26" w:rsidRPr="006712D8" w:rsidRDefault="00526986" w:rsidP="006712D8">
            <w:pPr>
              <w:pStyle w:val="ListParagraph"/>
              <w:numPr>
                <w:ilvl w:val="0"/>
                <w:numId w:val="1"/>
              </w:numPr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</w:pPr>
            <w:r w:rsidRPr="006712D8"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  <w:t>Εργαστήρια σε ομάδες</w:t>
            </w:r>
            <w:r w:rsidR="00C30F26" w:rsidRPr="006712D8"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  <w:t xml:space="preserve"> </w:t>
            </w:r>
            <w:proofErr w:type="spellStart"/>
            <w:r w:rsidRPr="006712D8"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  <w:t>jigsaw</w:t>
            </w:r>
            <w:proofErr w:type="spellEnd"/>
          </w:p>
          <w:p w:rsidR="00C30F26" w:rsidRPr="006712D8" w:rsidRDefault="00526986" w:rsidP="006712D8">
            <w:pPr>
              <w:pStyle w:val="ListParagraph"/>
              <w:numPr>
                <w:ilvl w:val="0"/>
                <w:numId w:val="1"/>
              </w:numPr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</w:pPr>
            <w:r w:rsidRPr="006712D8"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  <w:t>Ατομική εργασία</w:t>
            </w:r>
          </w:p>
          <w:p w:rsidR="00C30F26" w:rsidRPr="00C30F26" w:rsidRDefault="00C30F26" w:rsidP="00C30F26">
            <w:pPr>
              <w:jc w:val="both"/>
              <w:rPr>
                <w:rFonts w:ascii="DokChampa" w:hAnsi="DokChampa" w:cs="DokChampa"/>
                <w:sz w:val="24"/>
                <w:szCs w:val="24"/>
                <w:lang w:val="en-US"/>
              </w:rPr>
            </w:pPr>
          </w:p>
          <w:p w:rsidR="00C30F26" w:rsidRPr="00E40B6A" w:rsidRDefault="00526986" w:rsidP="00C30F26">
            <w:pPr>
              <w:rPr>
                <w:rFonts w:ascii="DokChampa" w:hAnsi="DokChampa" w:cs="DokChampa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Σκοποί-Στόχοι</w:t>
            </w:r>
          </w:p>
          <w:p w:rsidR="00C30F26" w:rsidRPr="006712D8" w:rsidRDefault="00526986" w:rsidP="006712D8">
            <w:pPr>
              <w:pStyle w:val="ListParagraph"/>
              <w:numPr>
                <w:ilvl w:val="0"/>
                <w:numId w:val="1"/>
              </w:numPr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</w:pPr>
            <w:r w:rsidRPr="006712D8"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  <w:t>Να ευαισθητοποιηθούν οι εκπαιδευόμενοι για την κατάσταση της Βαλτικής και της Μεσογείου</w:t>
            </w:r>
            <w:r w:rsidR="00C30F26" w:rsidRPr="006712D8"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  <w:t>.</w:t>
            </w:r>
          </w:p>
          <w:p w:rsidR="00C30F26" w:rsidRPr="006712D8" w:rsidRDefault="00526986" w:rsidP="006712D8">
            <w:pPr>
              <w:pStyle w:val="ListParagraph"/>
              <w:numPr>
                <w:ilvl w:val="0"/>
                <w:numId w:val="1"/>
              </w:numPr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</w:pPr>
            <w:r w:rsidRPr="006712D8"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  <w:t>Να αναπτύξουν στάσεις και</w:t>
            </w:r>
            <w:r w:rsidR="00E863C2" w:rsidRPr="006712D8"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  <w:t xml:space="preserve"> δεξιότητες εφαρμογής των γνώσεων στη διδακτική πρακτική μέσα από τη συνεργατική μάθηση, τις εργασίες και τις διεπιστημονικές προσεγγίσεις.</w:t>
            </w:r>
            <w:r w:rsidR="00C30F26" w:rsidRPr="006712D8"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  <w:t xml:space="preserve"> </w:t>
            </w:r>
          </w:p>
          <w:p w:rsidR="00C30F26" w:rsidRPr="006712D8" w:rsidRDefault="00E863C2" w:rsidP="006712D8">
            <w:pPr>
              <w:pStyle w:val="ListParagraph"/>
              <w:numPr>
                <w:ilvl w:val="0"/>
                <w:numId w:val="1"/>
              </w:numPr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</w:pPr>
            <w:r w:rsidRPr="006712D8"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  <w:t>Να συζητήσουν καθηγητές και εκπαιδευόμενοι, να προτείνουν λύσεις για τη διαφύλαξη και να συμβάλλουν στην περαιτέρω ανάπτυξη των δύο περιοχών</w:t>
            </w:r>
            <w:r w:rsidR="00C30F26" w:rsidRPr="006712D8">
              <w:rPr>
                <w:rFonts w:asciiTheme="minorHAnsi" w:eastAsiaTheme="minorHAnsi" w:hAnsiTheme="minorHAnsi" w:cstheme="minorHAnsi"/>
                <w:sz w:val="24"/>
                <w:szCs w:val="24"/>
                <w:lang w:val="el-GR"/>
              </w:rPr>
              <w:t>.</w:t>
            </w:r>
          </w:p>
          <w:p w:rsidR="00C40789" w:rsidRPr="00E863C2" w:rsidRDefault="00C40789" w:rsidP="00C40789">
            <w:pPr>
              <w:rPr>
                <w:rFonts w:cstheme="minorHAnsi"/>
                <w:b/>
                <w:sz w:val="24"/>
                <w:szCs w:val="24"/>
              </w:rPr>
            </w:pPr>
          </w:p>
          <w:p w:rsidR="00C40789" w:rsidRPr="00E863C2" w:rsidRDefault="00C4078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1E1BE5" w:rsidRPr="00E863C2" w:rsidRDefault="001E1BE5"/>
    <w:p w:rsidR="001E1BE5" w:rsidRPr="00E863C2" w:rsidRDefault="001E1BE5" w:rsidP="001E1BE5">
      <w:pPr>
        <w:spacing w:after="0" w:line="240" w:lineRule="auto"/>
        <w:rPr>
          <w:rFonts w:ascii="Calibri" w:eastAsia="Calibri" w:hAnsi="Calibri" w:cs="Times New Roman"/>
        </w:rPr>
      </w:pPr>
    </w:p>
    <w:p w:rsidR="001E1BE5" w:rsidRPr="00E863C2" w:rsidRDefault="001E1BE5" w:rsidP="001E1BE5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Style w:val="-51"/>
        <w:tblW w:w="542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6"/>
        <w:gridCol w:w="1347"/>
        <w:gridCol w:w="4423"/>
        <w:gridCol w:w="2067"/>
      </w:tblGrid>
      <w:tr w:rsidR="001E1BE5" w:rsidRPr="001E1BE5" w:rsidTr="00E863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pct"/>
            <w:shd w:val="clear" w:color="auto" w:fill="548DD4" w:themeFill="text2" w:themeFillTint="99"/>
          </w:tcPr>
          <w:p w:rsidR="001E1BE5" w:rsidRPr="001233FD" w:rsidRDefault="00E863C2" w:rsidP="001E1BE5">
            <w:pPr>
              <w:jc w:val="center"/>
              <w:rPr>
                <w:rFonts w:ascii="Calibri" w:hAnsi="Calibri"/>
                <w:color w:val="FFFFFF"/>
                <w:sz w:val="28"/>
                <w:szCs w:val="28"/>
                <w:lang w:val="el-GR"/>
              </w:rPr>
            </w:pPr>
            <w:r>
              <w:rPr>
                <w:rFonts w:ascii="Calibri" w:hAnsi="Calibri"/>
                <w:color w:val="FFFFFF"/>
                <w:sz w:val="28"/>
                <w:szCs w:val="28"/>
                <w:lang w:val="el-GR"/>
              </w:rPr>
              <w:t>ΜΑΘΗΜΑ</w:t>
            </w:r>
            <w:r w:rsidR="001233FD">
              <w:rPr>
                <w:rFonts w:ascii="Calibri" w:hAnsi="Calibri"/>
                <w:color w:val="FFFFFF"/>
                <w:sz w:val="28"/>
                <w:szCs w:val="28"/>
                <w:lang w:val="el-GR"/>
              </w:rPr>
              <w:t xml:space="preserve"> 2</w:t>
            </w:r>
            <w:r w:rsidR="001E1BE5" w:rsidRPr="001E1BE5">
              <w:rPr>
                <w:rFonts w:ascii="Calibri" w:hAnsi="Calibri"/>
                <w:color w:val="FFFFFF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728" w:type="pct"/>
            <w:shd w:val="clear" w:color="auto" w:fill="548DD4" w:themeFill="text2" w:themeFillTint="99"/>
          </w:tcPr>
          <w:p w:rsidR="001E1BE5" w:rsidRPr="00E863C2" w:rsidRDefault="00E863C2" w:rsidP="001E1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/>
                <w:sz w:val="28"/>
                <w:szCs w:val="28"/>
                <w:lang w:val="el-GR"/>
              </w:rPr>
            </w:pPr>
            <w:r w:rsidRPr="00E863C2">
              <w:rPr>
                <w:rFonts w:ascii="Calibri" w:hAnsi="Calibri"/>
                <w:color w:val="FFFFFF"/>
                <w:sz w:val="24"/>
                <w:szCs w:val="28"/>
                <w:lang w:val="el-GR"/>
              </w:rPr>
              <w:t>Πιστωτικές Μονάδες</w:t>
            </w:r>
          </w:p>
        </w:tc>
        <w:tc>
          <w:tcPr>
            <w:tcW w:w="2390" w:type="pct"/>
            <w:shd w:val="clear" w:color="auto" w:fill="548DD4" w:themeFill="text2" w:themeFillTint="99"/>
          </w:tcPr>
          <w:p w:rsidR="001E1BE5" w:rsidRPr="00E863C2" w:rsidRDefault="00E863C2" w:rsidP="001E1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/>
                <w:sz w:val="28"/>
                <w:szCs w:val="28"/>
                <w:lang w:val="el-GR"/>
              </w:rPr>
            </w:pPr>
            <w:r>
              <w:rPr>
                <w:rFonts w:ascii="Calibri" w:hAnsi="Calibri"/>
                <w:color w:val="FFFFFF"/>
                <w:sz w:val="28"/>
                <w:szCs w:val="28"/>
                <w:lang w:val="el-GR"/>
              </w:rPr>
              <w:t>ΠΕΡΙΕΧΟΜΕΝΟ</w:t>
            </w:r>
          </w:p>
        </w:tc>
        <w:tc>
          <w:tcPr>
            <w:tcW w:w="1117" w:type="pct"/>
            <w:shd w:val="clear" w:color="auto" w:fill="548DD4" w:themeFill="text2" w:themeFillTint="99"/>
          </w:tcPr>
          <w:p w:rsidR="001E1BE5" w:rsidRPr="00E863C2" w:rsidRDefault="00E863C2" w:rsidP="00E863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/>
                <w:sz w:val="28"/>
                <w:szCs w:val="28"/>
                <w:lang w:val="el-GR"/>
              </w:rPr>
            </w:pPr>
            <w:r>
              <w:rPr>
                <w:rFonts w:ascii="Calibri" w:hAnsi="Calibri"/>
                <w:color w:val="FFFFFF"/>
                <w:sz w:val="28"/>
                <w:szCs w:val="28"/>
                <w:lang w:val="el-GR"/>
              </w:rPr>
              <w:t>ΜΕΘΟΔΟΣ</w:t>
            </w:r>
            <w:r w:rsidR="001E1BE5" w:rsidRPr="001E1BE5">
              <w:rPr>
                <w:rFonts w:ascii="Calibri" w:hAnsi="Calibri"/>
                <w:color w:val="FFFFFF"/>
                <w:sz w:val="28"/>
                <w:szCs w:val="28"/>
                <w:lang w:val="en-US"/>
              </w:rPr>
              <w:t>/</w:t>
            </w:r>
            <w:r>
              <w:rPr>
                <w:rFonts w:ascii="Calibri" w:hAnsi="Calibri"/>
                <w:color w:val="FFFFFF"/>
                <w:sz w:val="28"/>
                <w:szCs w:val="28"/>
                <w:lang w:val="el-GR"/>
              </w:rPr>
              <w:t>ΕΡΓΑΛΕΙΟ</w:t>
            </w:r>
          </w:p>
        </w:tc>
      </w:tr>
      <w:tr w:rsidR="001E1BE5" w:rsidRPr="001E1BE5" w:rsidTr="00E863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pct"/>
          </w:tcPr>
          <w:p w:rsidR="001E1BE5" w:rsidRPr="001E1BE5" w:rsidRDefault="00E863C2" w:rsidP="001E1BE5">
            <w:pPr>
              <w:rPr>
                <w:rFonts w:ascii="Calibri" w:hAnsi="Calibri"/>
                <w:sz w:val="24"/>
                <w:lang w:val="en-US"/>
              </w:rPr>
            </w:pPr>
            <w:r>
              <w:rPr>
                <w:rFonts w:ascii="Calibri" w:hAnsi="Calibri"/>
                <w:sz w:val="24"/>
                <w:lang w:val="el-GR"/>
              </w:rPr>
              <w:t>Ενότητα</w:t>
            </w:r>
            <w:r w:rsidR="001E1BE5" w:rsidRPr="001E1BE5">
              <w:rPr>
                <w:rFonts w:ascii="Calibri" w:hAnsi="Calibri"/>
                <w:sz w:val="24"/>
                <w:lang w:val="en-US"/>
              </w:rPr>
              <w:t xml:space="preserve"> 1 </w:t>
            </w:r>
          </w:p>
          <w:p w:rsidR="001E1BE5" w:rsidRPr="001E1BE5" w:rsidRDefault="001E1BE5" w:rsidP="001E1BE5">
            <w:pPr>
              <w:rPr>
                <w:rFonts w:ascii="Calibri" w:hAnsi="Calibri"/>
                <w:sz w:val="24"/>
                <w:lang w:val="en-US"/>
              </w:rPr>
            </w:pPr>
          </w:p>
        </w:tc>
        <w:tc>
          <w:tcPr>
            <w:tcW w:w="728" w:type="pct"/>
          </w:tcPr>
          <w:p w:rsidR="001E1BE5" w:rsidRPr="001E1BE5" w:rsidRDefault="001E1BE5" w:rsidP="001E1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4"/>
                <w:lang w:val="en-US"/>
              </w:rPr>
            </w:pPr>
            <w:r w:rsidRPr="001E1BE5">
              <w:rPr>
                <w:rFonts w:ascii="Calibri" w:eastAsia="SimSun" w:hAnsi="Calibri" w:cs="Times New Roman"/>
                <w:bCs/>
                <w:sz w:val="24"/>
                <w:lang w:val="en-US"/>
              </w:rPr>
              <w:t xml:space="preserve">3 </w:t>
            </w:r>
          </w:p>
        </w:tc>
        <w:tc>
          <w:tcPr>
            <w:tcW w:w="2390" w:type="pct"/>
          </w:tcPr>
          <w:p w:rsidR="001E1BE5" w:rsidRPr="00B53042" w:rsidRDefault="00E863C2" w:rsidP="001E1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4"/>
                <w:lang w:val="el-GR"/>
              </w:rPr>
            </w:pPr>
            <w:r>
              <w:rPr>
                <w:rFonts w:ascii="Calibri" w:eastAsia="Calibri" w:hAnsi="Calibri" w:cs="Times New Roman"/>
                <w:sz w:val="24"/>
                <w:lang w:val="el-GR"/>
              </w:rPr>
              <w:t>Θέμα</w:t>
            </w:r>
            <w:r w:rsidR="001E1BE5" w:rsidRPr="00B53042">
              <w:rPr>
                <w:rFonts w:ascii="Calibri" w:eastAsia="Calibri" w:hAnsi="Calibri" w:cs="Times New Roman"/>
                <w:sz w:val="24"/>
                <w:lang w:val="el-GR"/>
              </w:rPr>
              <w:t xml:space="preserve"> 1: </w:t>
            </w:r>
            <w:r w:rsidR="00B53042">
              <w:rPr>
                <w:rFonts w:ascii="Calibri" w:eastAsia="Calibri" w:hAnsi="Calibri" w:cs="Times New Roman"/>
                <w:sz w:val="24"/>
                <w:lang w:val="el-GR"/>
              </w:rPr>
              <w:t>Σημαντικότητα και Βιοποικιλότητα</w:t>
            </w:r>
          </w:p>
        </w:tc>
        <w:tc>
          <w:tcPr>
            <w:tcW w:w="1117" w:type="pct"/>
          </w:tcPr>
          <w:p w:rsidR="001E1BE5" w:rsidRPr="00B53042" w:rsidRDefault="001E1BE5" w:rsidP="001E1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4"/>
                <w:lang w:val="el-GR"/>
              </w:rPr>
            </w:pPr>
          </w:p>
        </w:tc>
      </w:tr>
      <w:tr w:rsidR="001E1BE5" w:rsidRPr="001E1BE5" w:rsidTr="00E863C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pct"/>
            <w:shd w:val="clear" w:color="auto" w:fill="auto"/>
          </w:tcPr>
          <w:p w:rsidR="001E1BE5" w:rsidRPr="001E1BE5" w:rsidRDefault="00E863C2" w:rsidP="001E1BE5">
            <w:pPr>
              <w:rPr>
                <w:rFonts w:ascii="Calibri" w:hAnsi="Calibri"/>
                <w:sz w:val="24"/>
                <w:lang w:val="en-US"/>
              </w:rPr>
            </w:pPr>
            <w:r>
              <w:rPr>
                <w:rFonts w:ascii="Calibri" w:hAnsi="Calibri"/>
                <w:sz w:val="24"/>
                <w:lang w:val="el-GR"/>
              </w:rPr>
              <w:t>Ενότητα</w:t>
            </w:r>
            <w:r w:rsidR="001E1BE5" w:rsidRPr="001E1BE5">
              <w:rPr>
                <w:rFonts w:ascii="Calibri" w:hAnsi="Calibri"/>
                <w:sz w:val="24"/>
                <w:lang w:val="en-US"/>
              </w:rPr>
              <w:t xml:space="preserve"> 2</w:t>
            </w:r>
          </w:p>
          <w:p w:rsidR="001E1BE5" w:rsidRPr="001E1BE5" w:rsidRDefault="001E1BE5" w:rsidP="001E1BE5">
            <w:pPr>
              <w:rPr>
                <w:rFonts w:ascii="Calibri" w:hAnsi="Calibri"/>
                <w:sz w:val="24"/>
                <w:lang w:val="en-US"/>
              </w:rPr>
            </w:pPr>
          </w:p>
        </w:tc>
        <w:tc>
          <w:tcPr>
            <w:tcW w:w="728" w:type="pct"/>
            <w:shd w:val="clear" w:color="auto" w:fill="auto"/>
          </w:tcPr>
          <w:p w:rsidR="001E1BE5" w:rsidRPr="001E1BE5" w:rsidRDefault="001E1BE5" w:rsidP="001E1B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Times New Roman"/>
                <w:sz w:val="24"/>
                <w:lang w:val="en-US"/>
              </w:rPr>
            </w:pPr>
            <w:r w:rsidRPr="001E1BE5">
              <w:rPr>
                <w:rFonts w:ascii="Calibri" w:eastAsia="Calibri" w:hAnsi="Calibri" w:cs="Times New Roman"/>
                <w:sz w:val="24"/>
                <w:lang w:val="en-US"/>
              </w:rPr>
              <w:t>3</w:t>
            </w:r>
          </w:p>
        </w:tc>
        <w:tc>
          <w:tcPr>
            <w:tcW w:w="2390" w:type="pct"/>
            <w:shd w:val="clear" w:color="auto" w:fill="auto"/>
          </w:tcPr>
          <w:p w:rsidR="001E1BE5" w:rsidRPr="00B53042" w:rsidRDefault="00E863C2" w:rsidP="001E1B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Times New Roman"/>
                <w:sz w:val="24"/>
                <w:lang w:val="el-GR"/>
              </w:rPr>
            </w:pPr>
            <w:r>
              <w:rPr>
                <w:rFonts w:ascii="Calibri" w:eastAsia="Calibri" w:hAnsi="Calibri" w:cs="Times New Roman"/>
                <w:sz w:val="24"/>
                <w:lang w:val="el-GR"/>
              </w:rPr>
              <w:t>Θέμα</w:t>
            </w:r>
            <w:r w:rsidR="00981378" w:rsidRPr="00B53042">
              <w:rPr>
                <w:rFonts w:ascii="Calibri" w:eastAsia="Calibri" w:hAnsi="Calibri" w:cs="Times New Roman"/>
                <w:sz w:val="24"/>
                <w:lang w:val="el-GR"/>
              </w:rPr>
              <w:t xml:space="preserve"> 2</w:t>
            </w:r>
            <w:r w:rsidR="001E1BE5" w:rsidRPr="00B53042">
              <w:rPr>
                <w:rFonts w:ascii="Calibri" w:eastAsia="Calibri" w:hAnsi="Calibri" w:cs="Times New Roman"/>
                <w:sz w:val="24"/>
                <w:lang w:val="el-GR"/>
              </w:rPr>
              <w:t xml:space="preserve">: </w:t>
            </w:r>
            <w:r w:rsidR="00B53042">
              <w:rPr>
                <w:rFonts w:ascii="Calibri" w:eastAsia="Calibri" w:hAnsi="Calibri" w:cs="Times New Roman"/>
                <w:sz w:val="24"/>
                <w:lang w:val="el-GR"/>
              </w:rPr>
              <w:t>Προβλήματα και χημικά απόβλητα</w:t>
            </w:r>
          </w:p>
          <w:p w:rsidR="001E1BE5" w:rsidRPr="00B53042" w:rsidRDefault="001E1BE5" w:rsidP="001E1B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Times New Roman"/>
                <w:sz w:val="24"/>
                <w:lang w:val="el-GR"/>
              </w:rPr>
            </w:pPr>
          </w:p>
        </w:tc>
        <w:tc>
          <w:tcPr>
            <w:tcW w:w="1117" w:type="pct"/>
            <w:shd w:val="clear" w:color="auto" w:fill="auto"/>
          </w:tcPr>
          <w:p w:rsidR="001E1BE5" w:rsidRPr="00B53042" w:rsidRDefault="001E1BE5" w:rsidP="001E1B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Times New Roman"/>
                <w:sz w:val="24"/>
                <w:lang w:val="el-GR"/>
              </w:rPr>
            </w:pPr>
          </w:p>
        </w:tc>
      </w:tr>
      <w:tr w:rsidR="001E1BE5" w:rsidRPr="00B53042" w:rsidTr="00E863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pct"/>
          </w:tcPr>
          <w:p w:rsidR="001E1BE5" w:rsidRPr="001E1BE5" w:rsidRDefault="00E863C2" w:rsidP="001E1BE5">
            <w:pPr>
              <w:rPr>
                <w:rFonts w:ascii="Calibri" w:hAnsi="Calibri"/>
                <w:sz w:val="24"/>
                <w:lang w:val="en-US"/>
              </w:rPr>
            </w:pPr>
            <w:r>
              <w:rPr>
                <w:rFonts w:ascii="Calibri" w:hAnsi="Calibri"/>
                <w:sz w:val="24"/>
                <w:lang w:val="el-GR"/>
              </w:rPr>
              <w:t>Ενότητα</w:t>
            </w:r>
            <w:r w:rsidR="001E1BE5" w:rsidRPr="001E1BE5">
              <w:rPr>
                <w:rFonts w:ascii="Calibri" w:hAnsi="Calibri"/>
                <w:sz w:val="24"/>
                <w:lang w:val="en-US"/>
              </w:rPr>
              <w:t xml:space="preserve"> 3</w:t>
            </w:r>
          </w:p>
          <w:p w:rsidR="001E1BE5" w:rsidRPr="001E1BE5" w:rsidRDefault="001E1BE5" w:rsidP="001E1BE5">
            <w:pPr>
              <w:rPr>
                <w:rFonts w:ascii="Calibri" w:hAnsi="Calibri"/>
                <w:sz w:val="24"/>
                <w:lang w:val="en-US"/>
              </w:rPr>
            </w:pPr>
          </w:p>
        </w:tc>
        <w:tc>
          <w:tcPr>
            <w:tcW w:w="728" w:type="pct"/>
          </w:tcPr>
          <w:p w:rsidR="001E1BE5" w:rsidRPr="001E1BE5" w:rsidRDefault="001E1BE5" w:rsidP="001E1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4"/>
                <w:lang w:val="en-US"/>
              </w:rPr>
            </w:pPr>
            <w:r w:rsidRPr="001E1BE5">
              <w:rPr>
                <w:rFonts w:ascii="Calibri" w:eastAsia="Calibri" w:hAnsi="Calibri" w:cs="Times New Roman"/>
                <w:sz w:val="24"/>
                <w:lang w:val="en-US"/>
              </w:rPr>
              <w:t>3</w:t>
            </w:r>
          </w:p>
        </w:tc>
        <w:tc>
          <w:tcPr>
            <w:tcW w:w="2390" w:type="pct"/>
          </w:tcPr>
          <w:p w:rsidR="001E1BE5" w:rsidRPr="00B53042" w:rsidRDefault="00E863C2" w:rsidP="001E1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4"/>
                <w:lang w:val="el-GR"/>
              </w:rPr>
            </w:pPr>
            <w:r>
              <w:rPr>
                <w:rFonts w:ascii="Calibri" w:eastAsia="Calibri" w:hAnsi="Calibri" w:cs="Times New Roman"/>
                <w:sz w:val="24"/>
                <w:lang w:val="el-GR"/>
              </w:rPr>
              <w:t>Θέμα</w:t>
            </w:r>
            <w:r w:rsidR="00981378" w:rsidRPr="00B53042">
              <w:rPr>
                <w:rFonts w:ascii="Calibri" w:eastAsia="Calibri" w:hAnsi="Calibri" w:cs="Times New Roman"/>
                <w:sz w:val="24"/>
                <w:lang w:val="el-GR"/>
              </w:rPr>
              <w:t xml:space="preserve"> 3</w:t>
            </w:r>
            <w:r w:rsidR="001E1BE5" w:rsidRPr="00B53042">
              <w:rPr>
                <w:rFonts w:ascii="Calibri" w:eastAsia="Calibri" w:hAnsi="Calibri" w:cs="Times New Roman"/>
                <w:sz w:val="24"/>
                <w:lang w:val="el-GR"/>
              </w:rPr>
              <w:t xml:space="preserve">: </w:t>
            </w:r>
            <w:r w:rsidR="00B53042">
              <w:rPr>
                <w:rFonts w:ascii="Calibri" w:eastAsia="Calibri" w:hAnsi="Calibri" w:cs="Times New Roman"/>
                <w:sz w:val="24"/>
                <w:lang w:val="el-GR"/>
              </w:rPr>
              <w:t>Διαχείριση</w:t>
            </w:r>
            <w:r w:rsidR="00B53042" w:rsidRPr="00B53042">
              <w:rPr>
                <w:rFonts w:ascii="Calibri" w:eastAsia="Calibri" w:hAnsi="Calibri" w:cs="Times New Roman"/>
                <w:sz w:val="24"/>
                <w:lang w:val="el-GR"/>
              </w:rPr>
              <w:t xml:space="preserve"> </w:t>
            </w:r>
            <w:r w:rsidR="00B53042">
              <w:rPr>
                <w:rFonts w:ascii="Calibri" w:eastAsia="Calibri" w:hAnsi="Calibri" w:cs="Times New Roman"/>
                <w:sz w:val="24"/>
                <w:lang w:val="el-GR"/>
              </w:rPr>
              <w:t>προβλημάτων</w:t>
            </w:r>
            <w:r w:rsidR="00B53042" w:rsidRPr="00B53042">
              <w:rPr>
                <w:rFonts w:ascii="Calibri" w:eastAsia="Calibri" w:hAnsi="Calibri" w:cs="Times New Roman"/>
                <w:sz w:val="24"/>
                <w:lang w:val="el-GR"/>
              </w:rPr>
              <w:t xml:space="preserve"> </w:t>
            </w:r>
            <w:r w:rsidR="00B53042">
              <w:rPr>
                <w:rFonts w:ascii="Calibri" w:eastAsia="Calibri" w:hAnsi="Calibri" w:cs="Times New Roman"/>
                <w:sz w:val="24"/>
                <w:lang w:val="el-GR"/>
              </w:rPr>
              <w:t>και</w:t>
            </w:r>
            <w:r w:rsidR="00B53042" w:rsidRPr="00B53042">
              <w:rPr>
                <w:rFonts w:ascii="Calibri" w:eastAsia="Calibri" w:hAnsi="Calibri" w:cs="Times New Roman"/>
                <w:sz w:val="24"/>
                <w:lang w:val="el-GR"/>
              </w:rPr>
              <w:t xml:space="preserve"> </w:t>
            </w:r>
            <w:r w:rsidR="00B53042">
              <w:rPr>
                <w:rFonts w:ascii="Calibri" w:eastAsia="Calibri" w:hAnsi="Calibri" w:cs="Times New Roman"/>
                <w:sz w:val="24"/>
                <w:lang w:val="el-GR"/>
              </w:rPr>
              <w:t>αποφυγή της κλιματικής αλλαγής</w:t>
            </w:r>
          </w:p>
          <w:p w:rsidR="001E1BE5" w:rsidRPr="00B53042" w:rsidRDefault="001E1BE5" w:rsidP="001E1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4"/>
                <w:lang w:val="el-GR"/>
              </w:rPr>
            </w:pPr>
          </w:p>
        </w:tc>
        <w:tc>
          <w:tcPr>
            <w:tcW w:w="1117" w:type="pct"/>
          </w:tcPr>
          <w:p w:rsidR="001E1BE5" w:rsidRPr="00B53042" w:rsidRDefault="001E1BE5" w:rsidP="001E1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4"/>
                <w:lang w:val="el-GR"/>
              </w:rPr>
            </w:pPr>
          </w:p>
        </w:tc>
      </w:tr>
      <w:tr w:rsidR="001E1BE5" w:rsidRPr="00E863C2" w:rsidTr="00E863C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pct"/>
            <w:shd w:val="clear" w:color="auto" w:fill="auto"/>
          </w:tcPr>
          <w:p w:rsidR="001E1BE5" w:rsidRPr="00E863C2" w:rsidRDefault="00E863C2" w:rsidP="001E1BE5">
            <w:pPr>
              <w:rPr>
                <w:rFonts w:ascii="Calibri" w:hAnsi="Calibri"/>
                <w:sz w:val="24"/>
                <w:lang w:val="el-GR"/>
              </w:rPr>
            </w:pPr>
            <w:r>
              <w:rPr>
                <w:rFonts w:ascii="Calibri" w:hAnsi="Calibri"/>
                <w:sz w:val="24"/>
                <w:lang w:val="el-GR"/>
              </w:rPr>
              <w:t>Μελέτη Περίπτωσης</w:t>
            </w:r>
          </w:p>
          <w:p w:rsidR="001E1BE5" w:rsidRPr="001E1BE5" w:rsidRDefault="001E1BE5" w:rsidP="001E1BE5">
            <w:pPr>
              <w:rPr>
                <w:rFonts w:ascii="Calibri" w:hAnsi="Calibri"/>
                <w:sz w:val="24"/>
                <w:lang w:val="en-US"/>
              </w:rPr>
            </w:pPr>
          </w:p>
        </w:tc>
        <w:tc>
          <w:tcPr>
            <w:tcW w:w="728" w:type="pct"/>
            <w:shd w:val="clear" w:color="auto" w:fill="auto"/>
          </w:tcPr>
          <w:p w:rsidR="001E1BE5" w:rsidRPr="001E1BE5" w:rsidRDefault="001E1BE5" w:rsidP="001E1B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Times New Roman"/>
                <w:sz w:val="24"/>
                <w:lang w:val="en-US"/>
              </w:rPr>
            </w:pPr>
            <w:r>
              <w:rPr>
                <w:rFonts w:ascii="Calibri" w:eastAsia="Calibri" w:hAnsi="Calibri" w:cs="Times New Roman"/>
                <w:sz w:val="24"/>
                <w:lang w:val="en-US"/>
              </w:rPr>
              <w:t>6</w:t>
            </w:r>
          </w:p>
        </w:tc>
        <w:tc>
          <w:tcPr>
            <w:tcW w:w="2390" w:type="pct"/>
            <w:shd w:val="clear" w:color="auto" w:fill="auto"/>
          </w:tcPr>
          <w:p w:rsidR="001E1BE5" w:rsidRPr="003E6DF5" w:rsidRDefault="00E863C2" w:rsidP="001B11B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Times New Roman"/>
                <w:sz w:val="24"/>
                <w:szCs w:val="24"/>
                <w:lang w:val="el-GR"/>
              </w:rPr>
            </w:pPr>
            <w:r w:rsidRPr="003E6DF5">
              <w:rPr>
                <w:sz w:val="24"/>
                <w:szCs w:val="24"/>
                <w:lang w:val="el-GR"/>
              </w:rPr>
              <w:t xml:space="preserve">Χημικά απόβλητα και </w:t>
            </w:r>
            <w:r w:rsidR="00F94B9A" w:rsidRPr="00F94B9A">
              <w:rPr>
                <w:sz w:val="24"/>
                <w:szCs w:val="24"/>
                <w:lang w:val="el-GR"/>
              </w:rPr>
              <w:t>διαχείρισή τους από τα πλοία</w:t>
            </w:r>
            <w:bookmarkStart w:id="0" w:name="_GoBack"/>
            <w:bookmarkEnd w:id="0"/>
          </w:p>
        </w:tc>
        <w:tc>
          <w:tcPr>
            <w:tcW w:w="1117" w:type="pct"/>
            <w:shd w:val="clear" w:color="auto" w:fill="auto"/>
          </w:tcPr>
          <w:p w:rsidR="001E1BE5" w:rsidRPr="00E863C2" w:rsidRDefault="001E1BE5" w:rsidP="001E1B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Times New Roman"/>
                <w:sz w:val="24"/>
                <w:lang w:val="el-GR"/>
              </w:rPr>
            </w:pPr>
          </w:p>
        </w:tc>
      </w:tr>
    </w:tbl>
    <w:p w:rsidR="001E1BE5" w:rsidRPr="00E863C2" w:rsidRDefault="001E1BE5"/>
    <w:sectPr w:rsidR="001E1BE5" w:rsidRPr="00E863C2" w:rsidSect="001E1BE5">
      <w:headerReference w:type="default" r:id="rId7"/>
      <w:pgSz w:w="11906" w:h="16838"/>
      <w:pgMar w:top="1440" w:right="1800" w:bottom="144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5F7" w:rsidRDefault="007B65F7" w:rsidP="001E1BE5">
      <w:pPr>
        <w:spacing w:after="0" w:line="240" w:lineRule="auto"/>
      </w:pPr>
      <w:r>
        <w:separator/>
      </w:r>
    </w:p>
  </w:endnote>
  <w:endnote w:type="continuationSeparator" w:id="0">
    <w:p w:rsidR="007B65F7" w:rsidRDefault="007B65F7" w:rsidP="001E1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okChampa">
    <w:altName w:val="Leelawadee UI"/>
    <w:charset w:val="00"/>
    <w:family w:val="swiss"/>
    <w:pitch w:val="variable"/>
    <w:sig w:usb0="03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5F7" w:rsidRDefault="007B65F7" w:rsidP="001E1BE5">
      <w:pPr>
        <w:spacing w:after="0" w:line="240" w:lineRule="auto"/>
      </w:pPr>
      <w:r>
        <w:separator/>
      </w:r>
    </w:p>
  </w:footnote>
  <w:footnote w:type="continuationSeparator" w:id="0">
    <w:p w:rsidR="007B65F7" w:rsidRDefault="007B65F7" w:rsidP="001E1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BE5" w:rsidRDefault="000D6CBC" w:rsidP="000D6CBC">
    <w:pPr>
      <w:pStyle w:val="Header"/>
      <w:rPr>
        <w:b/>
        <w:sz w:val="28"/>
        <w:lang w:val="en-US"/>
      </w:rPr>
    </w:pPr>
    <w:r>
      <w:rPr>
        <w:b/>
        <w:noProof/>
        <w:sz w:val="28"/>
        <w:lang w:val="en-US"/>
      </w:rPr>
      <w:drawing>
        <wp:inline distT="0" distB="0" distL="0" distR="0">
          <wp:extent cx="540000" cy="540000"/>
          <wp:effectExtent l="19050" t="0" r="0" b="0"/>
          <wp:docPr id="3" name="Picture 2" descr="hy_logo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y_logo_black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  <w:sz w:val="28"/>
        <w:lang w:val="en-US"/>
      </w:rPr>
      <w:tab/>
    </w:r>
    <w:r w:rsidRPr="000D6CBC">
      <w:rPr>
        <w:b/>
        <w:noProof/>
        <w:sz w:val="28"/>
        <w:lang w:val="en-US"/>
      </w:rPr>
      <w:drawing>
        <wp:inline distT="0" distB="0" distL="0" distR="0">
          <wp:extent cx="1080000" cy="317647"/>
          <wp:effectExtent l="0" t="0" r="6350" b="6350"/>
          <wp:docPr id="4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2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3176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  <w:sz w:val="28"/>
        <w:lang w:val="en-US"/>
      </w:rPr>
      <w:tab/>
    </w:r>
    <w:r w:rsidR="001E1BE5">
      <w:rPr>
        <w:b/>
        <w:noProof/>
        <w:sz w:val="28"/>
        <w:lang w:val="en-US"/>
      </w:rPr>
      <w:drawing>
        <wp:inline distT="0" distB="0" distL="0" distR="0">
          <wp:extent cx="315900" cy="540000"/>
          <wp:effectExtent l="0" t="0" r="8255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OI_log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9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E1BE5" w:rsidRPr="00E10453" w:rsidRDefault="00ED3C72" w:rsidP="001E1BE5">
    <w:pPr>
      <w:pStyle w:val="Header"/>
      <w:rPr>
        <w:lang w:val="en-US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-352425</wp:posOffset>
              </wp:positionH>
              <wp:positionV relativeFrom="paragraph">
                <wp:posOffset>45720</wp:posOffset>
              </wp:positionV>
              <wp:extent cx="6296025" cy="9525"/>
              <wp:effectExtent l="57150" t="38100" r="47625" b="85725"/>
              <wp:wrapNone/>
              <wp:docPr id="17" name="Ευθεία γραμμή σύνδεσης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2960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C0504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410E58" id="Ευθεία γραμμή σύνδεσης 17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.75pt,3.6pt" to="468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" strokecolor="#c0504d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:rsidR="000D6CBC" w:rsidRDefault="000D6C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9D1C0C"/>
    <w:multiLevelType w:val="hybridMultilevel"/>
    <w:tmpl w:val="BDDAC53E"/>
    <w:lvl w:ilvl="0" w:tplc="F2DC9664">
      <w:numFmt w:val="bullet"/>
      <w:lvlText w:val=""/>
      <w:lvlJc w:val="left"/>
      <w:pPr>
        <w:ind w:left="720" w:hanging="360"/>
      </w:pPr>
      <w:rPr>
        <w:rFonts w:ascii="Symbol" w:eastAsia="Times New Roman" w:hAnsi="Symbol" w:cs="DokChamp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E60CBD"/>
    <w:multiLevelType w:val="hybridMultilevel"/>
    <w:tmpl w:val="145C7318"/>
    <w:lvl w:ilvl="0" w:tplc="F2DC9664">
      <w:numFmt w:val="bullet"/>
      <w:lvlText w:val=""/>
      <w:lvlJc w:val="left"/>
      <w:pPr>
        <w:ind w:left="720" w:hanging="360"/>
      </w:pPr>
      <w:rPr>
        <w:rFonts w:ascii="Symbol" w:eastAsia="Times New Roman" w:hAnsi="Symbol" w:cs="DokChampa" w:hint="default"/>
      </w:rPr>
    </w:lvl>
    <w:lvl w:ilvl="1" w:tplc="6DA6F4A6">
      <w:numFmt w:val="bullet"/>
      <w:lvlText w:val="•"/>
      <w:lvlJc w:val="left"/>
      <w:pPr>
        <w:ind w:left="1440" w:hanging="360"/>
      </w:pPr>
      <w:rPr>
        <w:rFonts w:ascii="DokChampa" w:eastAsia="Times New Roman" w:hAnsi="DokChampa" w:cs="DokChampa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E5"/>
    <w:rsid w:val="00051C3A"/>
    <w:rsid w:val="000D6CBC"/>
    <w:rsid w:val="001233FD"/>
    <w:rsid w:val="001B11B5"/>
    <w:rsid w:val="001C1786"/>
    <w:rsid w:val="001E1BE5"/>
    <w:rsid w:val="00235D60"/>
    <w:rsid w:val="002D3FD7"/>
    <w:rsid w:val="002F5A4E"/>
    <w:rsid w:val="002F7354"/>
    <w:rsid w:val="00326AA8"/>
    <w:rsid w:val="00362839"/>
    <w:rsid w:val="003E6DF5"/>
    <w:rsid w:val="004F00E4"/>
    <w:rsid w:val="00526986"/>
    <w:rsid w:val="00556ADE"/>
    <w:rsid w:val="005D109D"/>
    <w:rsid w:val="006712D8"/>
    <w:rsid w:val="00696780"/>
    <w:rsid w:val="007565FD"/>
    <w:rsid w:val="007B65F7"/>
    <w:rsid w:val="007C139B"/>
    <w:rsid w:val="00981378"/>
    <w:rsid w:val="00AE6227"/>
    <w:rsid w:val="00B53042"/>
    <w:rsid w:val="00C30F26"/>
    <w:rsid w:val="00C40789"/>
    <w:rsid w:val="00C751D2"/>
    <w:rsid w:val="00CE77A9"/>
    <w:rsid w:val="00D127BB"/>
    <w:rsid w:val="00D234F7"/>
    <w:rsid w:val="00D57E8F"/>
    <w:rsid w:val="00E863C2"/>
    <w:rsid w:val="00ED3C72"/>
    <w:rsid w:val="00F94B9A"/>
    <w:rsid w:val="00F956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1F5BA97-1A7C-4A7D-AC70-FB195024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628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-51">
    <w:name w:val="Ανοιχτόχρωμο πλέγμα - ΄Εμφαση 51"/>
    <w:basedOn w:val="TableNormal"/>
    <w:next w:val="LightGrid-Accent5"/>
    <w:uiPriority w:val="62"/>
    <w:rsid w:val="001E1BE5"/>
    <w:pPr>
      <w:spacing w:after="0" w:line="240" w:lineRule="auto"/>
    </w:pPr>
    <w:rPr>
      <w:lang w:val="fi-FI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SimSu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SimSu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SimSun" w:hAnsi="Cambria" w:cs="Times New Roman"/>
        <w:b/>
        <w:bCs/>
      </w:rPr>
    </w:tblStylePr>
    <w:tblStylePr w:type="lastCol">
      <w:rPr>
        <w:rFonts w:ascii="Cambria" w:eastAsia="SimSu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5">
    <w:name w:val="Light Grid Accent 5"/>
    <w:basedOn w:val="TableNormal"/>
    <w:uiPriority w:val="62"/>
    <w:rsid w:val="001E1BE5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1E1BE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1BE5"/>
  </w:style>
  <w:style w:type="paragraph" w:styleId="Footer">
    <w:name w:val="footer"/>
    <w:basedOn w:val="Normal"/>
    <w:link w:val="FooterChar"/>
    <w:uiPriority w:val="99"/>
    <w:unhideWhenUsed/>
    <w:rsid w:val="001E1BE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1BE5"/>
  </w:style>
  <w:style w:type="paragraph" w:styleId="BalloonText">
    <w:name w:val="Balloon Text"/>
    <w:basedOn w:val="Normal"/>
    <w:link w:val="BalloonTextChar"/>
    <w:uiPriority w:val="99"/>
    <w:semiHidden/>
    <w:unhideWhenUsed/>
    <w:rsid w:val="001E1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BE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4078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C40789"/>
    <w:pPr>
      <w:ind w:left="720"/>
      <w:contextualSpacing/>
    </w:pPr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Athina</dc:creator>
  <cp:lastModifiedBy>Athina Christina</cp:lastModifiedBy>
  <cp:revision>9</cp:revision>
  <dcterms:created xsi:type="dcterms:W3CDTF">2017-03-02T18:14:00Z</dcterms:created>
  <dcterms:modified xsi:type="dcterms:W3CDTF">2017-03-21T16:25:00Z</dcterms:modified>
</cp:coreProperties>
</file>