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73131" w:rsidTr="003B1BE2">
        <w:tc>
          <w:tcPr>
            <w:tcW w:w="2802" w:type="dxa"/>
            <w:shd w:val="clear" w:color="auto" w:fill="auto"/>
          </w:tcPr>
          <w:p w:rsidR="004A61F2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Τίτλος</w:t>
            </w:r>
          </w:p>
        </w:tc>
        <w:tc>
          <w:tcPr>
            <w:tcW w:w="5714" w:type="dxa"/>
            <w:shd w:val="clear" w:color="auto" w:fill="auto"/>
          </w:tcPr>
          <w:p w:rsidR="00E27D7C" w:rsidRPr="00373131" w:rsidRDefault="00373131" w:rsidP="00373131">
            <w:pPr>
              <w:spacing w:line="240" w:lineRule="auto"/>
              <w:rPr>
                <w:b/>
                <w:lang w:val="el-GR"/>
              </w:rPr>
            </w:pPr>
            <w:r>
              <w:rPr>
                <w:lang w:val="el-GR"/>
              </w:rPr>
              <w:t>Κεντρικές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ιδέες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73131"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διαθεματικές</w:t>
            </w:r>
            <w:proofErr w:type="spellEnd"/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έννοιες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 των φυσικών επιστημών.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Διάρκεια (σε εβδομάδες)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905ED" w:rsidP="00B074D0">
            <w:pPr>
              <w:spacing w:line="240" w:lineRule="auto"/>
            </w:pPr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Αρχή/Τέλος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B074D0">
            <w:pPr>
              <w:spacing w:line="240" w:lineRule="auto"/>
            </w:pPr>
          </w:p>
        </w:tc>
      </w:tr>
      <w:tr w:rsidR="00AC641D" w:rsidRPr="00373131" w:rsidTr="003B1BE2">
        <w:tc>
          <w:tcPr>
            <w:tcW w:w="2802" w:type="dxa"/>
            <w:shd w:val="clear" w:color="auto" w:fill="auto"/>
          </w:tcPr>
          <w:p w:rsidR="00AC641D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Βασικές έννοιες και ζητήματα</w:t>
            </w:r>
          </w:p>
          <w:p w:rsidR="00AC641D" w:rsidRPr="000B53CC" w:rsidRDefault="00AC641D" w:rsidP="00B074D0">
            <w:pPr>
              <w:spacing w:line="276" w:lineRule="auto"/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373131" w:rsidRDefault="00373131" w:rsidP="00B074D0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Κεντρικές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επιστημονικές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ιδέες</w:t>
            </w:r>
            <w:r w:rsidRPr="00373131">
              <w:rPr>
                <w:lang w:val="el-GR"/>
              </w:rPr>
              <w:t xml:space="preserve">, </w:t>
            </w:r>
            <w:r>
              <w:rPr>
                <w:lang w:val="el-GR"/>
              </w:rPr>
              <w:t>διεπιστημονική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προσέγγιση</w:t>
            </w:r>
            <w:r w:rsidRPr="00373131">
              <w:rPr>
                <w:lang w:val="el-GR"/>
              </w:rPr>
              <w:t>,</w:t>
            </w:r>
            <w:r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αντανακλαστικότητα</w:t>
            </w:r>
            <w:proofErr w:type="spellEnd"/>
            <w:r w:rsidR="00B074D0" w:rsidRPr="00373131">
              <w:rPr>
                <w:lang w:val="el-GR"/>
              </w:rPr>
              <w:t>,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περιβαλλοντικά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ζητήματα.</w:t>
            </w:r>
          </w:p>
          <w:p w:rsidR="00B074D0" w:rsidRPr="00373131" w:rsidRDefault="00B074D0" w:rsidP="00B074D0">
            <w:pPr>
              <w:spacing w:line="240" w:lineRule="auto"/>
              <w:rPr>
                <w:lang w:val="el-GR"/>
              </w:rPr>
            </w:pPr>
          </w:p>
        </w:tc>
      </w:tr>
      <w:tr w:rsidR="00AC641D" w:rsidRPr="00373131" w:rsidTr="003B1BE2">
        <w:tc>
          <w:tcPr>
            <w:tcW w:w="2802" w:type="dxa"/>
            <w:shd w:val="clear" w:color="auto" w:fill="auto"/>
          </w:tcPr>
          <w:p w:rsidR="00AC641D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Επιδιωκόμενος σκοπός</w:t>
            </w:r>
          </w:p>
        </w:tc>
        <w:tc>
          <w:tcPr>
            <w:tcW w:w="5714" w:type="dxa"/>
            <w:shd w:val="clear" w:color="auto" w:fill="auto"/>
          </w:tcPr>
          <w:p w:rsidR="005A5D18" w:rsidRPr="00373131" w:rsidRDefault="00373131" w:rsidP="00373131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Εισαγωγή</w:t>
            </w:r>
            <w:r w:rsidRPr="00373131">
              <w:t xml:space="preserve"> </w:t>
            </w:r>
            <w:r>
              <w:rPr>
                <w:lang w:val="el-GR"/>
              </w:rPr>
              <w:t>σε</w:t>
            </w:r>
            <w:r w:rsidRPr="00373131">
              <w:t xml:space="preserve"> </w:t>
            </w:r>
            <w:r>
              <w:rPr>
                <w:lang w:val="el-GR"/>
              </w:rPr>
              <w:t>κεντρικές</w:t>
            </w:r>
            <w:r w:rsidRPr="00373131">
              <w:t xml:space="preserve"> </w:t>
            </w:r>
            <w:r>
              <w:rPr>
                <w:lang w:val="el-GR"/>
              </w:rPr>
              <w:t>ιδέες</w:t>
            </w:r>
            <w:r w:rsidRPr="00373131">
              <w:t xml:space="preserve"> </w:t>
            </w:r>
            <w:r>
              <w:rPr>
                <w:lang w:val="el-GR"/>
              </w:rPr>
              <w:t>διάφορων</w:t>
            </w:r>
            <w:r w:rsidRPr="00373131">
              <w:t xml:space="preserve"> </w:t>
            </w:r>
            <w:r>
              <w:rPr>
                <w:lang w:val="el-GR"/>
              </w:rPr>
              <w:t>επιστημών</w:t>
            </w:r>
            <w:r w:rsidRPr="00373131">
              <w:t xml:space="preserve"> </w:t>
            </w:r>
            <w:r>
              <w:rPr>
                <w:lang w:val="el-GR"/>
              </w:rPr>
              <w:t>κάνοντας</w:t>
            </w:r>
            <w:r w:rsidRPr="00373131">
              <w:t xml:space="preserve"> </w:t>
            </w:r>
            <w:r>
              <w:rPr>
                <w:lang w:val="el-GR"/>
              </w:rPr>
              <w:t>αναφορά</w:t>
            </w:r>
            <w:r w:rsidRPr="00373131">
              <w:t xml:space="preserve"> </w:t>
            </w:r>
            <w:r>
              <w:rPr>
                <w:lang w:val="el-GR"/>
              </w:rPr>
              <w:t>στη</w:t>
            </w:r>
            <w:r w:rsidRPr="00373131">
              <w:t xml:space="preserve"> </w:t>
            </w:r>
            <w:r>
              <w:rPr>
                <w:lang w:val="el-GR"/>
              </w:rPr>
              <w:t>σχέση</w:t>
            </w:r>
            <w:r w:rsidRPr="00373131">
              <w:t xml:space="preserve"> </w:t>
            </w:r>
            <w:r>
              <w:rPr>
                <w:lang w:val="el-GR"/>
              </w:rPr>
              <w:t>τους</w:t>
            </w:r>
            <w:r w:rsidRPr="00373131">
              <w:t xml:space="preserve"> </w:t>
            </w:r>
            <w:r>
              <w:rPr>
                <w:lang w:val="el-GR"/>
              </w:rPr>
              <w:t>με</w:t>
            </w:r>
            <w:r w:rsidRPr="00373131">
              <w:t xml:space="preserve"> </w:t>
            </w:r>
            <w:r>
              <w:rPr>
                <w:lang w:val="el-GR"/>
              </w:rPr>
              <w:t>αντίστοιχα</w:t>
            </w:r>
            <w:r w:rsidRPr="00373131">
              <w:t xml:space="preserve"> </w:t>
            </w:r>
            <w:r>
              <w:rPr>
                <w:lang w:val="el-GR"/>
              </w:rPr>
              <w:t>περιβαλλοντικά</w:t>
            </w:r>
            <w:r w:rsidRPr="00373131">
              <w:t xml:space="preserve"> </w:t>
            </w:r>
            <w:r>
              <w:rPr>
                <w:lang w:val="el-GR"/>
              </w:rPr>
              <w:t>ζητήματα</w:t>
            </w:r>
            <w:r w:rsidRPr="00373131">
              <w:t xml:space="preserve">. </w:t>
            </w:r>
            <w:r>
              <w:rPr>
                <w:lang w:val="el-GR"/>
              </w:rPr>
              <w:t>Συζήτηση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σχέση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μεταξύ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βασικών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επιστημονικών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ιδεών</w:t>
            </w:r>
            <w:r w:rsidRPr="00373131">
              <w:rPr>
                <w:lang w:val="el-GR"/>
              </w:rPr>
              <w:t xml:space="preserve">, </w:t>
            </w:r>
            <w:r>
              <w:rPr>
                <w:lang w:val="el-GR"/>
              </w:rPr>
              <w:t>στο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πλαίσιο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περιβαλλοντικών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ζητημάτων</w:t>
            </w:r>
            <w:r w:rsidRPr="00373131">
              <w:rPr>
                <w:lang w:val="el-GR"/>
              </w:rPr>
              <w:t xml:space="preserve">, </w:t>
            </w:r>
            <w:r>
              <w:rPr>
                <w:lang w:val="el-GR"/>
              </w:rPr>
              <w:t>και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γνώσεων</w:t>
            </w:r>
            <w:r w:rsidRPr="00373131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εμπειριών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πολιτισμικό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υπόβαθρο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373131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μαθητών.</w:t>
            </w:r>
          </w:p>
        </w:tc>
      </w:tr>
      <w:tr w:rsidR="004A61F2" w:rsidRPr="00F56514" w:rsidTr="003B1BE2">
        <w:tc>
          <w:tcPr>
            <w:tcW w:w="2802" w:type="dxa"/>
            <w:shd w:val="clear" w:color="auto" w:fill="auto"/>
          </w:tcPr>
          <w:p w:rsidR="004A61F2" w:rsidRPr="00373131" w:rsidRDefault="00373131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Μαθησιακά αποτελέσματα</w:t>
            </w:r>
          </w:p>
        </w:tc>
        <w:tc>
          <w:tcPr>
            <w:tcW w:w="5714" w:type="dxa"/>
            <w:shd w:val="clear" w:color="auto" w:fill="auto"/>
          </w:tcPr>
          <w:p w:rsidR="005A5D18" w:rsidRPr="00F56514" w:rsidRDefault="00373131" w:rsidP="00B074D0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Στο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τέλος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αυτού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μαθήματος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="00F56514" w:rsidRPr="00F56514">
              <w:rPr>
                <w:lang w:val="el-GR"/>
              </w:rPr>
              <w:t xml:space="preserve"> </w:t>
            </w:r>
            <w:r w:rsidR="00F56514">
              <w:rPr>
                <w:lang w:val="el-GR"/>
              </w:rPr>
              <w:t>μαθητές</w:t>
            </w:r>
            <w:r w:rsidR="00F56514" w:rsidRPr="00F56514">
              <w:rPr>
                <w:lang w:val="el-GR"/>
              </w:rPr>
              <w:t xml:space="preserve"> </w:t>
            </w:r>
            <w:r w:rsidR="00F56514">
              <w:rPr>
                <w:lang w:val="el-GR"/>
              </w:rPr>
              <w:t>θα</w:t>
            </w:r>
            <w:r w:rsidR="00F56514" w:rsidRPr="00F56514">
              <w:rPr>
                <w:lang w:val="el-GR"/>
              </w:rPr>
              <w:t xml:space="preserve"> </w:t>
            </w:r>
            <w:r w:rsidR="00F56514">
              <w:rPr>
                <w:lang w:val="el-GR"/>
              </w:rPr>
              <w:t>μπορούν</w:t>
            </w:r>
            <w:r w:rsidR="005A5D18" w:rsidRPr="00F56514">
              <w:rPr>
                <w:lang w:val="el-GR"/>
              </w:rPr>
              <w:t>:</w:t>
            </w:r>
          </w:p>
          <w:p w:rsidR="005A5D18" w:rsidRPr="00F56514" w:rsidRDefault="005A5D18" w:rsidP="00B074D0">
            <w:pPr>
              <w:spacing w:line="240" w:lineRule="auto"/>
              <w:rPr>
                <w:lang w:val="el-GR"/>
              </w:rPr>
            </w:pPr>
          </w:p>
          <w:p w:rsidR="005A5D18" w:rsidRPr="00F56514" w:rsidRDefault="00F56514" w:rsidP="00B074D0">
            <w:pPr>
              <w:pStyle w:val="a5"/>
              <w:numPr>
                <w:ilvl w:val="0"/>
                <w:numId w:val="4"/>
              </w:numPr>
              <w:spacing w:after="0" w:line="240" w:lineRule="auto"/>
            </w:pPr>
            <w:r>
              <w:rPr>
                <w:lang w:val="el-GR"/>
              </w:rPr>
              <w:t>Να</w:t>
            </w:r>
            <w:r w:rsidRPr="00F56514"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ταυτοποιήσουν</w:t>
            </w:r>
            <w:proofErr w:type="spellEnd"/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κεντρικές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ιδέες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από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διάφορες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επιστήμες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σχέση του με περιβαλλοντικά ζητήματα.</w:t>
            </w:r>
          </w:p>
          <w:p w:rsidR="005A5D18" w:rsidRPr="00F56514" w:rsidRDefault="00F56514" w:rsidP="00F56514">
            <w:pPr>
              <w:pStyle w:val="a5"/>
              <w:numPr>
                <w:ilvl w:val="0"/>
                <w:numId w:val="4"/>
              </w:numPr>
              <w:spacing w:after="0" w:line="240" w:lineRule="auto"/>
            </w:pPr>
            <w:r>
              <w:rPr>
                <w:lang w:val="el-GR"/>
              </w:rPr>
              <w:t>Να συζητήσουν</w:t>
            </w:r>
            <w:r w:rsidRPr="00F56514">
              <w:rPr>
                <w:lang w:val="el-GR"/>
              </w:rPr>
              <w:t xml:space="preserve"> για τη σχέση μεταξύ των βασικών επιστημονικών ιδεών, στο πλαίσιο των περιβαλλοντικών ζητημάτων, και των γνώσεων, εμπειριών και πολιτισμικό υπόβαθρο των μαθητών.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F56514" w:rsidRDefault="00F56514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Βασικό Μαθησιακό Υλικό</w:t>
            </w:r>
          </w:p>
        </w:tc>
        <w:tc>
          <w:tcPr>
            <w:tcW w:w="5714" w:type="dxa"/>
            <w:shd w:val="clear" w:color="auto" w:fill="auto"/>
          </w:tcPr>
          <w:p w:rsidR="008A1B92" w:rsidRPr="004D036B" w:rsidRDefault="004D036B" w:rsidP="00B074D0">
            <w:pPr>
              <w:spacing w:line="240" w:lineRule="auto"/>
            </w:pPr>
            <w:r>
              <w:t>Power Point Presentation</w:t>
            </w:r>
          </w:p>
        </w:tc>
      </w:tr>
      <w:tr w:rsidR="008A1B92" w:rsidRPr="003B1BE2" w:rsidTr="00E10C77">
        <w:tc>
          <w:tcPr>
            <w:tcW w:w="2802" w:type="dxa"/>
            <w:shd w:val="clear" w:color="auto" w:fill="auto"/>
          </w:tcPr>
          <w:p w:rsidR="008A1B92" w:rsidRPr="00F56514" w:rsidRDefault="00F56514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Πρόσθετο υλικό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486F20" w:rsidP="00B074D0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E10C77">
        <w:tc>
          <w:tcPr>
            <w:tcW w:w="2802" w:type="dxa"/>
            <w:shd w:val="clear" w:color="auto" w:fill="auto"/>
          </w:tcPr>
          <w:p w:rsidR="008A1B92" w:rsidRPr="00F56514" w:rsidRDefault="00F56514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Εκπαιδευτικά βίντεο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B074D0" w:rsidP="00B074D0">
            <w:pPr>
              <w:pStyle w:val="Web"/>
              <w:spacing w:before="0" w:beforeAutospacing="0" w:after="0" w:afterAutospacing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-</w:t>
            </w:r>
          </w:p>
        </w:tc>
      </w:tr>
      <w:tr w:rsidR="008A1B92" w:rsidRPr="003B1BE2" w:rsidTr="00E10C77">
        <w:tc>
          <w:tcPr>
            <w:tcW w:w="2802" w:type="dxa"/>
            <w:shd w:val="clear" w:color="auto" w:fill="auto"/>
          </w:tcPr>
          <w:p w:rsidR="008A1B92" w:rsidRPr="000B53CC" w:rsidRDefault="00F56514" w:rsidP="00B074D0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Υλικό προς ανάγνωση</w:t>
            </w:r>
            <w:r w:rsidR="008A1B92"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5714" w:type="dxa"/>
            <w:shd w:val="clear" w:color="auto" w:fill="auto"/>
          </w:tcPr>
          <w:p w:rsidR="00743942" w:rsidRPr="00F30856" w:rsidRDefault="00743942" w:rsidP="00F30856">
            <w:pPr>
              <w:pStyle w:val="We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NGSS</w:t>
            </w:r>
            <w:r w:rsidR="00BC5EA6" w:rsidRPr="00D2126B"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 xml:space="preserve"> (201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>3</w:t>
            </w:r>
            <w:r w:rsidR="00BC5EA6" w:rsidRPr="00D2126B">
              <w:rPr>
                <w:rFonts w:asciiTheme="minorHAnsi" w:hAnsiTheme="minorHAnsi" w:cstheme="minorHAnsi"/>
                <w:iCs/>
                <w:sz w:val="24"/>
                <w:szCs w:val="24"/>
                <w:lang w:bidi="en-US"/>
              </w:rPr>
              <w:t>).</w:t>
            </w:r>
            <w:r w:rsidR="00D2126B" w:rsidRPr="00D2126B">
              <w:rPr>
                <w:rFonts w:ascii="Times New Roman" w:hAnsi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r w:rsidR="00D2126B" w:rsidRPr="00D2126B">
              <w:rPr>
                <w:rFonts w:asciiTheme="minorHAnsi" w:hAnsiTheme="minorHAnsi" w:cstheme="minorHAnsi"/>
                <w:bCs/>
                <w:color w:val="000000"/>
                <w:sz w:val="24"/>
                <w:szCs w:val="28"/>
                <w:lang w:eastAsia="el-GR"/>
              </w:rPr>
              <w:t>Appendix G – Crosscutting Concepts</w:t>
            </w:r>
            <w:r w:rsidR="00D2126B">
              <w:rPr>
                <w:rFonts w:asciiTheme="minorHAnsi" w:hAnsiTheme="minorHAnsi" w:cstheme="minorHAnsi"/>
                <w:bCs/>
                <w:color w:val="000000"/>
                <w:sz w:val="24"/>
                <w:szCs w:val="28"/>
                <w:lang w:eastAsia="el-GR"/>
              </w:rPr>
              <w:t xml:space="preserve">. </w:t>
            </w:r>
          </w:p>
          <w:p w:rsidR="00F30856" w:rsidRPr="00F30856" w:rsidRDefault="00F30856" w:rsidP="00F30856">
            <w:pPr>
              <w:pStyle w:val="Web"/>
              <w:autoSpaceDE w:val="0"/>
              <w:autoSpaceDN w:val="0"/>
              <w:adjustRightInd w:val="0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6F3EC6" w:rsidRPr="00743942" w:rsidRDefault="00743942" w:rsidP="00D2126B">
            <w:pPr>
              <w:pStyle w:val="We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743942">
              <w:rPr>
                <w:rFonts w:asciiTheme="minorHAnsi" w:hAnsiTheme="minorHAnsi" w:cstheme="minorHAnsi"/>
                <w:sz w:val="24"/>
                <w:szCs w:val="24"/>
              </w:rPr>
              <w:t>Duschl</w:t>
            </w:r>
            <w:proofErr w:type="spellEnd"/>
            <w:r w:rsidRPr="00743942">
              <w:rPr>
                <w:rFonts w:asciiTheme="minorHAnsi" w:hAnsiTheme="minorHAnsi" w:cstheme="minorHAnsi"/>
                <w:sz w:val="24"/>
                <w:szCs w:val="24"/>
              </w:rPr>
              <w:t xml:space="preserve">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743942">
              <w:rPr>
                <w:rFonts w:asciiTheme="minorHAnsi" w:hAnsiTheme="minorHAnsi" w:cstheme="minorHAnsi"/>
                <w:sz w:val="24"/>
                <w:szCs w:val="24"/>
              </w:rPr>
              <w:t xml:space="preserve"> A.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43942">
              <w:rPr>
                <w:rFonts w:asciiTheme="minorHAnsi" w:hAnsiTheme="minorHAnsi" w:cstheme="minorHAnsi"/>
                <w:sz w:val="24"/>
                <w:szCs w:val="24"/>
              </w:rPr>
              <w:t xml:space="preserve"> (2012). </w:t>
            </w:r>
            <w:r w:rsidR="00D2126B" w:rsidRPr="00743942">
              <w:rPr>
                <w:rFonts w:asciiTheme="minorHAnsi" w:hAnsiTheme="minorHAnsi" w:cstheme="minorHAnsi"/>
                <w:sz w:val="24"/>
                <w:szCs w:val="24"/>
              </w:rPr>
              <w:t>The Second Dimension— Crosscutting Concepts.</w:t>
            </w:r>
            <w:r w:rsidRPr="00743942">
              <w:rPr>
                <w:rFonts w:asciiTheme="minorHAnsi" w:hAnsiTheme="minorHAnsi" w:cstheme="minorHAnsi"/>
                <w:sz w:val="24"/>
                <w:szCs w:val="24"/>
              </w:rPr>
              <w:t xml:space="preserve"> Understanding A Framework for K–12 Science Education</w:t>
            </w:r>
          </w:p>
          <w:p w:rsidR="006F3EC6" w:rsidRPr="006F3EC6" w:rsidRDefault="006F3EC6" w:rsidP="006F3EC6">
            <w:pPr>
              <w:pStyle w:val="Web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6F3EC6" w:rsidRPr="006F3EC6" w:rsidRDefault="00743942" w:rsidP="006F3EC6">
            <w:pPr>
              <w:pStyle w:val="We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NSTA</w:t>
            </w:r>
            <w:r w:rsidR="006F3EC6" w:rsidRPr="006F3EC6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(2013). </w:t>
            </w:r>
            <w:r w:rsidR="006F3EC6" w:rsidRPr="006F3EC6">
              <w:rPr>
                <w:rFonts w:asciiTheme="minorHAnsi" w:hAnsiTheme="minorHAnsi" w:cstheme="minorHAnsi"/>
                <w:bCs/>
                <w:sz w:val="24"/>
                <w:szCs w:val="32"/>
              </w:rPr>
              <w:t>Disciplinary Core Ideas in the Next Generation Science Standards (NGSS) Final Release</w:t>
            </w:r>
          </w:p>
          <w:p w:rsidR="00486F20" w:rsidRPr="00B074D0" w:rsidRDefault="00486F20" w:rsidP="00486F20">
            <w:pPr>
              <w:pStyle w:val="Web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B1BE2" w:rsidRPr="00F56514" w:rsidTr="003B1BE2">
        <w:tc>
          <w:tcPr>
            <w:tcW w:w="2802" w:type="dxa"/>
            <w:shd w:val="clear" w:color="auto" w:fill="auto"/>
          </w:tcPr>
          <w:p w:rsidR="003B1BE2" w:rsidRPr="00F56514" w:rsidRDefault="00F56514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Δραστηριότητες</w:t>
            </w:r>
          </w:p>
        </w:tc>
        <w:tc>
          <w:tcPr>
            <w:tcW w:w="5714" w:type="dxa"/>
            <w:shd w:val="clear" w:color="auto" w:fill="auto"/>
          </w:tcPr>
          <w:p w:rsidR="003B1BE2" w:rsidRPr="00F56514" w:rsidRDefault="00F56514" w:rsidP="00F56514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Διαλέξτε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ένα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περιβαλλοντικό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ζήτημα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κάντε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ένα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πλέγμα</w:t>
            </w:r>
            <w:r w:rsidR="00AC3717" w:rsidRPr="00F56514">
              <w:rPr>
                <w:lang w:val="el-GR"/>
              </w:rPr>
              <w:t xml:space="preserve"> [1-3-1-003]). </w:t>
            </w:r>
            <w:r>
              <w:rPr>
                <w:lang w:val="el-GR"/>
              </w:rPr>
              <w:t>Προτείνετε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τρόπους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οποίους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αυτό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υλικό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μπορούσε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διδαχθεί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ένα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μαθητή</w:t>
            </w:r>
            <w:r w:rsidRPr="00F5651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πρωτοβάθμιας, μεταπτυχιακό και προπτυχιακό φοιτητή και έναν εκπαιδευτικό</w:t>
            </w:r>
            <w:r w:rsidR="00AC3717" w:rsidRPr="00F56514">
              <w:rPr>
                <w:lang w:val="el-GR"/>
              </w:rPr>
              <w:t xml:space="preserve">. 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B074D0">
            <w:pPr>
              <w:spacing w:line="276" w:lineRule="auto"/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B074D0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F56514" w:rsidRDefault="00F56514" w:rsidP="00B074D0">
            <w:pPr>
              <w:spacing w:line="276" w:lineRule="auto"/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lastRenderedPageBreak/>
              <w:t>Αξιολόγηση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F56514" w:rsidP="00B074D0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εργασίας</w:t>
            </w:r>
            <w:r w:rsidR="0008358E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</w:p>
        </w:tc>
      </w:tr>
    </w:tbl>
    <w:p w:rsidR="00AC641D" w:rsidRDefault="00AC641D"/>
    <w:p w:rsidR="006D62CC" w:rsidRDefault="006D62CC"/>
    <w:p w:rsidR="00102854" w:rsidRPr="00F56514" w:rsidRDefault="00CF61FD">
      <w:pPr>
        <w:rPr>
          <w:lang w:val="el-GR"/>
        </w:rPr>
      </w:pPr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6514">
        <w:rPr>
          <w:lang w:val="el-GR"/>
        </w:rPr>
        <w:t>Μιας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και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υπάρχουν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διαφορετικοί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τρόποι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ανάπτυξης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της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δομής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του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μαθήματος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πριν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τη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μεταφόρτωση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του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αρχείου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στην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διαδικτυακή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τάξη</w:t>
      </w:r>
      <w:r w:rsidR="00F56514" w:rsidRPr="00F56514">
        <w:rPr>
          <w:lang w:val="el-GR"/>
        </w:rPr>
        <w:t xml:space="preserve">, </w:t>
      </w:r>
      <w:r w:rsidR="00F56514">
        <w:rPr>
          <w:lang w:val="el-GR"/>
        </w:rPr>
        <w:t>ακολουθεί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ένα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πρότυπο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δείγμα</w:t>
      </w:r>
      <w:r w:rsidR="00F56514" w:rsidRPr="00F56514">
        <w:rPr>
          <w:lang w:val="el-GR"/>
        </w:rPr>
        <w:t xml:space="preserve"> </w:t>
      </w:r>
      <w:r w:rsidR="00F56514">
        <w:rPr>
          <w:lang w:val="el-GR"/>
        </w:rPr>
        <w:t>που μπορεί να προσαρμοστεί εύκολα</w:t>
      </w:r>
      <w:bookmarkStart w:id="0" w:name="_GoBack"/>
      <w:bookmarkEnd w:id="0"/>
      <w:r w:rsidR="00487A42" w:rsidRPr="00F56514">
        <w:rPr>
          <w:lang w:val="el-GR"/>
        </w:rPr>
        <w:t>:</w:t>
      </w:r>
    </w:p>
    <w:p w:rsidR="00487A42" w:rsidRPr="00F56514" w:rsidRDefault="00487A42">
      <w:pPr>
        <w:rPr>
          <w:lang w:val="el-GR"/>
        </w:rPr>
      </w:pPr>
    </w:p>
    <w:p w:rsidR="00102854" w:rsidRPr="00F56514" w:rsidRDefault="00102854">
      <w:pPr>
        <w:rPr>
          <w:lang w:val="el-GR"/>
        </w:rPr>
      </w:pPr>
    </w:p>
    <w:sectPr w:rsidR="00102854" w:rsidRPr="00F5651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C7D6C"/>
    <w:multiLevelType w:val="hybridMultilevel"/>
    <w:tmpl w:val="B344E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60416E1"/>
    <w:multiLevelType w:val="hybridMultilevel"/>
    <w:tmpl w:val="CC72B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2854"/>
    <w:rsid w:val="00064A21"/>
    <w:rsid w:val="000757B7"/>
    <w:rsid w:val="0008358E"/>
    <w:rsid w:val="000B53CC"/>
    <w:rsid w:val="000D1F58"/>
    <w:rsid w:val="00102854"/>
    <w:rsid w:val="00104E02"/>
    <w:rsid w:val="002362BC"/>
    <w:rsid w:val="00325400"/>
    <w:rsid w:val="00356F53"/>
    <w:rsid w:val="00373131"/>
    <w:rsid w:val="003B1BE2"/>
    <w:rsid w:val="00486F20"/>
    <w:rsid w:val="00487A42"/>
    <w:rsid w:val="004A61F2"/>
    <w:rsid w:val="004B020E"/>
    <w:rsid w:val="004D036B"/>
    <w:rsid w:val="00537FA7"/>
    <w:rsid w:val="00542747"/>
    <w:rsid w:val="005A5D18"/>
    <w:rsid w:val="005B19D9"/>
    <w:rsid w:val="006D62CC"/>
    <w:rsid w:val="006F3EC6"/>
    <w:rsid w:val="00720416"/>
    <w:rsid w:val="00743942"/>
    <w:rsid w:val="0077183D"/>
    <w:rsid w:val="007F0C98"/>
    <w:rsid w:val="007F7954"/>
    <w:rsid w:val="008905ED"/>
    <w:rsid w:val="008A1B92"/>
    <w:rsid w:val="008E052A"/>
    <w:rsid w:val="008E11DD"/>
    <w:rsid w:val="009D2B11"/>
    <w:rsid w:val="00A21099"/>
    <w:rsid w:val="00AC3717"/>
    <w:rsid w:val="00AC641D"/>
    <w:rsid w:val="00AE75E0"/>
    <w:rsid w:val="00B074D0"/>
    <w:rsid w:val="00B56B9B"/>
    <w:rsid w:val="00B80BBC"/>
    <w:rsid w:val="00B95FE1"/>
    <w:rsid w:val="00BC5EA6"/>
    <w:rsid w:val="00C43441"/>
    <w:rsid w:val="00CB2FAB"/>
    <w:rsid w:val="00CF61FD"/>
    <w:rsid w:val="00D2126B"/>
    <w:rsid w:val="00E10C77"/>
    <w:rsid w:val="00E21AE0"/>
    <w:rsid w:val="00E27D7C"/>
    <w:rsid w:val="00E63C69"/>
    <w:rsid w:val="00F30856"/>
    <w:rsid w:val="00F36AEB"/>
    <w:rsid w:val="00F56514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D036B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val="it-IT" w:eastAsia="en-US" w:bidi="ar-SA"/>
    </w:rPr>
  </w:style>
  <w:style w:type="paragraph" w:customStyle="1" w:styleId="Default">
    <w:name w:val="Default"/>
    <w:rsid w:val="006F3EC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281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RePack by Diakov</cp:lastModifiedBy>
  <cp:revision>5</cp:revision>
  <dcterms:created xsi:type="dcterms:W3CDTF">2015-10-13T20:45:00Z</dcterms:created>
  <dcterms:modified xsi:type="dcterms:W3CDTF">2016-11-30T12:50:00Z</dcterms:modified>
</cp:coreProperties>
</file>