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5714"/>
      </w:tblGrid>
      <w:tr w:rsidR="004A61F2" w:rsidRPr="000B66C0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0B66C0" w:rsidRDefault="000B66C0" w:rsidP="000B66C0">
            <w:pPr>
              <w:rPr>
                <w:b/>
                <w:lang w:val="el-GR"/>
              </w:rPr>
            </w:pPr>
            <w:r>
              <w:rPr>
                <w:lang w:val="el-GR"/>
              </w:rPr>
              <w:t xml:space="preserve">Τεχνικές παρακολούθησης ενέργειας </w:t>
            </w:r>
            <w:r w:rsidRPr="00EE7F1C">
              <w:rPr>
                <w:lang w:val="el-GR"/>
              </w:rPr>
              <w:t>/</w:t>
            </w:r>
            <w:r>
              <w:rPr>
                <w:lang w:val="el-GR"/>
              </w:rPr>
              <w:t xml:space="preserve"> σχεδιασμού </w:t>
            </w:r>
            <w:r w:rsidRPr="00EE7F1C">
              <w:rPr>
                <w:lang w:val="el-GR"/>
              </w:rPr>
              <w:t xml:space="preserve">/ </w:t>
            </w:r>
            <w:r>
              <w:rPr>
                <w:lang w:val="el-GR"/>
              </w:rPr>
              <w:t>διαχείρισης και Πλαίσιο Μεταφοράς Γνώσης Αποδοτικότητας Ενέργειας</w:t>
            </w:r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575DC1" w:rsidP="00E63C69">
            <w:r>
              <w:t>2</w:t>
            </w:r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575DC1" w:rsidP="00E63C69">
            <w:r>
              <w:t>21 / 22</w:t>
            </w:r>
          </w:p>
        </w:tc>
      </w:tr>
      <w:tr w:rsidR="00AC641D" w:rsidRPr="000B66C0" w:rsidTr="007B3C06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0B66C0" w:rsidRDefault="000B66C0" w:rsidP="000B66C0">
            <w:pPr>
              <w:rPr>
                <w:b/>
                <w:lang w:val="el-GR"/>
              </w:rPr>
            </w:pPr>
            <w:r>
              <w:rPr>
                <w:lang w:val="el-GR"/>
              </w:rPr>
              <w:t>ενεργειακή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απόδοση</w:t>
            </w:r>
            <w:r w:rsidR="00575DC1" w:rsidRPr="000B66C0">
              <w:rPr>
                <w:lang w:val="el-GR"/>
              </w:rPr>
              <w:t xml:space="preserve">, </w:t>
            </w:r>
            <w:r>
              <w:rPr>
                <w:lang w:val="el-GR"/>
              </w:rPr>
              <w:t>διαχείριση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ενέργειας</w:t>
            </w:r>
            <w:r w:rsidR="00575DC1" w:rsidRPr="000B66C0">
              <w:rPr>
                <w:lang w:val="el-GR"/>
              </w:rPr>
              <w:t xml:space="preserve">, </w:t>
            </w:r>
            <w:r>
              <w:rPr>
                <w:lang w:val="el-GR"/>
              </w:rPr>
              <w:t>ενεργειακός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σχεδιασμός</w:t>
            </w:r>
            <w:r w:rsidR="00575DC1" w:rsidRPr="000B66C0">
              <w:rPr>
                <w:lang w:val="el-GR"/>
              </w:rPr>
              <w:t xml:space="preserve">, </w:t>
            </w:r>
            <w:r>
              <w:rPr>
                <w:lang w:val="el-GR"/>
              </w:rPr>
              <w:t>παρακολούθηση ενέργειας</w:t>
            </w:r>
            <w:r w:rsidR="00575DC1" w:rsidRPr="000B66C0">
              <w:rPr>
                <w:lang w:val="el-GR"/>
              </w:rPr>
              <w:t xml:space="preserve">, </w:t>
            </w:r>
            <w:r>
              <w:rPr>
                <w:lang w:val="el-GR"/>
              </w:rPr>
              <w:t>πλαίσια μεταφοράς γνώσης</w:t>
            </w:r>
          </w:p>
        </w:tc>
      </w:tr>
      <w:tr w:rsidR="00AC641D" w:rsidRPr="000B66C0" w:rsidTr="007B3C06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575DC1" w:rsidRPr="000B66C0" w:rsidRDefault="000B66C0" w:rsidP="000B66C0">
            <w:pPr>
              <w:pStyle w:val="a5"/>
              <w:numPr>
                <w:ilvl w:val="0"/>
                <w:numId w:val="11"/>
              </w:numPr>
              <w:ind w:left="351"/>
              <w:rPr>
                <w:lang w:val="el-GR"/>
              </w:rPr>
            </w:pPr>
            <w:r>
              <w:rPr>
                <w:lang w:val="el-GR"/>
              </w:rPr>
              <w:t>Παροχή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μίας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επισκόπησης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απαιτούμενων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ικανοτήτων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διαχείριση</w:t>
            </w:r>
            <w:r w:rsidRPr="000B66C0">
              <w:rPr>
                <w:lang w:val="el-GR"/>
              </w:rPr>
              <w:t xml:space="preserve">, </w:t>
            </w:r>
            <w:r>
              <w:rPr>
                <w:lang w:val="el-GR"/>
              </w:rPr>
              <w:t>ερμηνεία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παρακολούθηση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δεδομένων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σχετικά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την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κατανάλωση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ενέργειας.</w:t>
            </w:r>
          </w:p>
          <w:p w:rsidR="003B1BE2" w:rsidRPr="000B66C0" w:rsidRDefault="000B66C0" w:rsidP="000B66C0">
            <w:pPr>
              <w:pStyle w:val="a5"/>
              <w:numPr>
                <w:ilvl w:val="0"/>
                <w:numId w:val="11"/>
              </w:numPr>
              <w:ind w:left="351"/>
              <w:rPr>
                <w:lang w:val="el-GR"/>
              </w:rPr>
            </w:pPr>
            <w:r>
              <w:rPr>
                <w:lang w:val="el-GR"/>
              </w:rPr>
              <w:t>Παροχή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μίας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επισκόπησης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Πλαίσια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Μεταφοράς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Γνώσης</w:t>
            </w:r>
            <w:r w:rsidRPr="000B66C0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στο περιβάλλον ενός ΣΔΕ</w:t>
            </w:r>
          </w:p>
        </w:tc>
      </w:tr>
      <w:tr w:rsidR="004A61F2" w:rsidRPr="000B66C0" w:rsidTr="007B3C06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0B66C0" w:rsidRPr="000B66C0" w:rsidRDefault="000B66C0" w:rsidP="000B66C0">
            <w:pPr>
              <w:pStyle w:val="a5"/>
              <w:ind w:left="-75"/>
            </w:pPr>
            <w:r>
              <w:rPr>
                <w:lang w:val="el-GR"/>
              </w:rPr>
              <w:t>Οι</w:t>
            </w:r>
            <w:r w:rsidRPr="004C18C2">
              <w:t xml:space="preserve"> </w:t>
            </w:r>
            <w:r>
              <w:rPr>
                <w:lang w:val="el-GR"/>
              </w:rPr>
              <w:t>εκπαιδευόμενοι</w:t>
            </w:r>
            <w:r w:rsidRPr="004C18C2">
              <w:t xml:space="preserve"> </w:t>
            </w:r>
            <w:r>
              <w:rPr>
                <w:lang w:val="el-GR"/>
              </w:rPr>
              <w:t>θα</w:t>
            </w:r>
            <w:r>
              <w:t>:</w:t>
            </w:r>
          </w:p>
          <w:p w:rsidR="000B66C0" w:rsidRPr="000B66C0" w:rsidRDefault="000B66C0" w:rsidP="000B66C0">
            <w:pPr>
              <w:pStyle w:val="a5"/>
              <w:numPr>
                <w:ilvl w:val="0"/>
                <w:numId w:val="12"/>
              </w:numPr>
              <w:ind w:left="351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Μπορούν</w:t>
            </w:r>
            <w:r w:rsidRPr="00B40D77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να</w:t>
            </w:r>
            <w:r w:rsidRPr="00B40D77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αποτιμούν</w:t>
            </w:r>
            <w:r w:rsidRPr="00B40D77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τα</w:t>
            </w:r>
            <w:r w:rsidRPr="00B40D77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χαρακτηριστικά</w:t>
            </w:r>
            <w:r w:rsidRPr="00B40D77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ενεργειακής</w:t>
            </w:r>
            <w:r w:rsidRPr="00B40D77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απόδοσης</w:t>
            </w:r>
            <w:r w:rsidRPr="00B40D77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για</w:t>
            </w:r>
            <w:r w:rsidRPr="00B40D77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ένα</w:t>
            </w:r>
            <w:r w:rsidRPr="00B40D77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συγκεκριμένο</w:t>
            </w:r>
            <w:r w:rsidRPr="00B40D77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κτήριο/περιοχή</w:t>
            </w:r>
            <w:r w:rsidRPr="000B66C0">
              <w:rPr>
                <w:bCs/>
                <w:lang w:val="el-GR"/>
              </w:rPr>
              <w:t xml:space="preserve"> </w:t>
            </w:r>
          </w:p>
          <w:p w:rsidR="000B66C0" w:rsidRPr="000B66C0" w:rsidRDefault="000B66C0" w:rsidP="000B66C0">
            <w:pPr>
              <w:pStyle w:val="a5"/>
              <w:numPr>
                <w:ilvl w:val="0"/>
                <w:numId w:val="12"/>
              </w:numPr>
              <w:ind w:left="351"/>
              <w:rPr>
                <w:bCs/>
                <w:lang w:val="el-GR"/>
              </w:rPr>
            </w:pPr>
            <w:r w:rsidRPr="000B66C0">
              <w:rPr>
                <w:bCs/>
                <w:lang w:val="el-GR"/>
              </w:rPr>
              <w:t>Μπορούν να σχεδιάζουν δίκτυα μεταφοράς γνώσης ενεργειακής αποδοτικότητας</w:t>
            </w:r>
          </w:p>
          <w:p w:rsidR="000B66C0" w:rsidRPr="000B66C0" w:rsidRDefault="000B66C0" w:rsidP="000B66C0">
            <w:pPr>
              <w:pStyle w:val="a5"/>
              <w:numPr>
                <w:ilvl w:val="0"/>
                <w:numId w:val="12"/>
              </w:numPr>
              <w:ind w:left="351"/>
              <w:rPr>
                <w:bCs/>
                <w:lang w:val="el-GR"/>
              </w:rPr>
            </w:pPr>
            <w:r w:rsidRPr="000B66C0">
              <w:rPr>
                <w:bCs/>
                <w:lang w:val="el-GR"/>
              </w:rPr>
              <w:t>Μπορούν να χρησιμοποιούν δεδομένα για την καλύτερη κατανόηση και λήψη αποφάσεων για τη χρήση και τη διατήρηση της ενέργειας</w:t>
            </w:r>
          </w:p>
          <w:p w:rsidR="00575DC1" w:rsidRPr="000B66C0" w:rsidRDefault="000B66C0" w:rsidP="000B66C0">
            <w:pPr>
              <w:pStyle w:val="a5"/>
              <w:numPr>
                <w:ilvl w:val="0"/>
                <w:numId w:val="12"/>
              </w:numPr>
              <w:ind w:left="351"/>
              <w:rPr>
                <w:lang w:val="el-GR"/>
              </w:rPr>
            </w:pPr>
            <w:r w:rsidRPr="000B66C0">
              <w:rPr>
                <w:bCs/>
                <w:lang w:val="el-GR"/>
              </w:rPr>
              <w:t>Μπορούν να παρακολουθούν και να μετρούν την κατανάλωση και την εξοικονόμηση ενέργειας</w:t>
            </w:r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0B66C0" w:rsidRDefault="000B66C0" w:rsidP="007B3C06">
            <w:pPr>
              <w:rPr>
                <w:b/>
                <w:lang w:val="el-GR"/>
              </w:rPr>
            </w:pPr>
            <w:r>
              <w:rPr>
                <w:lang w:val="el-GR"/>
              </w:rPr>
              <w:t>Παρουσίαση σε ηλεκτρονική μορφή</w:t>
            </w:r>
            <w:r w:rsidRPr="000B66C0">
              <w:rPr>
                <w:b/>
                <w:lang w:val="el-GR"/>
              </w:rPr>
              <w:t xml:space="preserve"> </w:t>
            </w:r>
          </w:p>
          <w:p w:rsidR="007B3C06" w:rsidRPr="000B66C0" w:rsidRDefault="000B66C0" w:rsidP="007B3C06">
            <w:pPr>
              <w:rPr>
                <w:lang w:val="el-GR"/>
              </w:rPr>
            </w:pPr>
            <w:r>
              <w:rPr>
                <w:b/>
                <w:lang w:val="el-GR"/>
              </w:rPr>
              <w:t>Έγγραφα</w:t>
            </w:r>
          </w:p>
          <w:p w:rsidR="007B3C06" w:rsidRDefault="00FE5317" w:rsidP="007B3C06">
            <w:pPr>
              <w:pStyle w:val="a5"/>
              <w:numPr>
                <w:ilvl w:val="0"/>
                <w:numId w:val="7"/>
              </w:numPr>
            </w:pPr>
            <w:hyperlink r:id="rId6" w:history="1">
              <w:r w:rsidR="007B3C06" w:rsidRPr="007B3C06">
                <w:rPr>
                  <w:rStyle w:val="-"/>
                </w:rPr>
                <w:t xml:space="preserve">An Advanced Energy Management Framework to Promote Energy Awareness,  </w:t>
              </w:r>
              <w:proofErr w:type="spellStart"/>
              <w:r w:rsidR="007B3C06" w:rsidRPr="007B3C06">
                <w:rPr>
                  <w:rStyle w:val="-"/>
                </w:rPr>
                <w:t>Vikhorev</w:t>
              </w:r>
              <w:proofErr w:type="spellEnd"/>
              <w:r w:rsidR="007B3C06" w:rsidRPr="007B3C06">
                <w:rPr>
                  <w:rStyle w:val="-"/>
                </w:rPr>
                <w:t xml:space="preserve"> , </w:t>
              </w:r>
              <w:proofErr w:type="spellStart"/>
              <w:r w:rsidR="007B3C06" w:rsidRPr="007B3C06">
                <w:rPr>
                  <w:rStyle w:val="-"/>
                </w:rPr>
                <w:t>Greenough</w:t>
              </w:r>
              <w:proofErr w:type="spellEnd"/>
              <w:r w:rsidR="007B3C06" w:rsidRPr="007B3C06">
                <w:rPr>
                  <w:rStyle w:val="-"/>
                </w:rPr>
                <w:t xml:space="preserve"> &amp; Brown (2012) Institute of Energy </w:t>
              </w:r>
              <w:r w:rsidR="007B3C06" w:rsidRPr="007B3C06">
                <w:rPr>
                  <w:rStyle w:val="-"/>
                </w:rPr>
                <w:lastRenderedPageBreak/>
                <w:t>and Sustainable Development, De Montfort University, Leicester</w:t>
              </w:r>
            </w:hyperlink>
          </w:p>
          <w:p w:rsidR="007B3C06" w:rsidRDefault="00FE5317" w:rsidP="007B3C06">
            <w:pPr>
              <w:pStyle w:val="a5"/>
              <w:numPr>
                <w:ilvl w:val="0"/>
                <w:numId w:val="7"/>
              </w:numPr>
            </w:pPr>
            <w:hyperlink r:id="rId7" w:history="1">
              <w:r w:rsidR="007B3C06" w:rsidRPr="007B3C06">
                <w:rPr>
                  <w:rStyle w:val="-"/>
                </w:rPr>
                <w:t xml:space="preserve">A Four-Step Path to a Comprehensive Energy Management Action Plan by Keith Stager and Cassie </w:t>
              </w:r>
              <w:proofErr w:type="spellStart"/>
              <w:r w:rsidR="007B3C06" w:rsidRPr="007B3C06">
                <w:rPr>
                  <w:rStyle w:val="-"/>
                </w:rPr>
                <w:t>Quaintance</w:t>
              </w:r>
              <w:proofErr w:type="spellEnd"/>
              <w:r w:rsidR="007B3C06" w:rsidRPr="007B3C06">
                <w:rPr>
                  <w:rStyle w:val="-"/>
                </w:rPr>
                <w:t>, Schneider Electric North American Operating Division</w:t>
              </w:r>
            </w:hyperlink>
          </w:p>
          <w:p w:rsidR="007B3C06" w:rsidRPr="007B3C06" w:rsidRDefault="00FE5317" w:rsidP="007B3C06">
            <w:pPr>
              <w:pStyle w:val="a5"/>
              <w:numPr>
                <w:ilvl w:val="0"/>
                <w:numId w:val="7"/>
              </w:numPr>
            </w:pPr>
            <w:hyperlink r:id="rId8" w:history="1">
              <w:r w:rsidR="007B3C06" w:rsidRPr="007B3C06">
                <w:rPr>
                  <w:rStyle w:val="-"/>
                </w:rPr>
                <w:t xml:space="preserve">Making the Most of Your Company’s Knowledge: A Strategic Framework Georg von Krogh, </w:t>
              </w:r>
              <w:proofErr w:type="spellStart"/>
              <w:r w:rsidR="007B3C06" w:rsidRPr="007B3C06">
                <w:rPr>
                  <w:rStyle w:val="-"/>
                </w:rPr>
                <w:t>Ikujiro</w:t>
              </w:r>
              <w:proofErr w:type="spellEnd"/>
              <w:r w:rsidR="007B3C06" w:rsidRPr="007B3C06">
                <w:rPr>
                  <w:rStyle w:val="-"/>
                </w:rPr>
                <w:t xml:space="preserve"> </w:t>
              </w:r>
              <w:proofErr w:type="spellStart"/>
              <w:r w:rsidR="007B3C06" w:rsidRPr="007B3C06">
                <w:rPr>
                  <w:rStyle w:val="-"/>
                </w:rPr>
                <w:t>Nonaka</w:t>
              </w:r>
              <w:proofErr w:type="spellEnd"/>
              <w:r w:rsidR="007B3C06" w:rsidRPr="007B3C06">
                <w:rPr>
                  <w:rStyle w:val="-"/>
                </w:rPr>
                <w:t xml:space="preserve">, Manfred </w:t>
              </w:r>
              <w:proofErr w:type="spellStart"/>
              <w:r w:rsidR="007B3C06" w:rsidRPr="007B3C06">
                <w:rPr>
                  <w:rStyle w:val="-"/>
                </w:rPr>
                <w:t>Aben</w:t>
              </w:r>
              <w:proofErr w:type="spellEnd"/>
              <w:r w:rsidR="007B3C06" w:rsidRPr="007B3C06">
                <w:rPr>
                  <w:rStyle w:val="-"/>
                </w:rPr>
                <w:t xml:space="preserve"> (2001)</w:t>
              </w:r>
            </w:hyperlink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0B66C0" w:rsidRDefault="000B66C0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  <w:t>Έγγραφα</w:t>
            </w:r>
          </w:p>
          <w:p w:rsidR="00784179" w:rsidRDefault="00FE5317" w:rsidP="00784179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9" w:history="1"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Success factors of energy management in energy-intensive industries: Development priority of energy performance measurement, International Journal of Energy Research Volume 37, Issue 8, pages 936–951, 25 June 2013</w:t>
              </w:r>
            </w:hyperlink>
          </w:p>
          <w:p w:rsidR="00784179" w:rsidRDefault="00FE5317" w:rsidP="00784179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0" w:history="1"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Scenario modelling: A holistic environmental and energy management method for building operation optimization. O'Donnell, James T.; Keane, Marcus; </w:t>
              </w:r>
              <w:proofErr w:type="spellStart"/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Bazjanac</w:t>
              </w:r>
              <w:proofErr w:type="spellEnd"/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, Vladimir; et al. (2013)</w:t>
              </w:r>
            </w:hyperlink>
          </w:p>
          <w:p w:rsidR="00784179" w:rsidRDefault="00FE5317" w:rsidP="00784179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1" w:history="1"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Automated energy monitoring of machine tools, </w:t>
              </w:r>
              <w:proofErr w:type="spellStart"/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Vijayaraghavan&amp;Dornfeld</w:t>
              </w:r>
              <w:proofErr w:type="spellEnd"/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 Laboratory for Manufacturing and Sustainability, UC Berkeley (2010)</w:t>
              </w:r>
            </w:hyperlink>
          </w:p>
          <w:p w:rsidR="00784179" w:rsidRDefault="00FE5317" w:rsidP="00784179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2" w:history="1"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Thinking Globally: How ISO 50001 - Energy Management can make industrial energy efficiency standard practice, </w:t>
              </w:r>
              <w:proofErr w:type="spellStart"/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McKane</w:t>
              </w:r>
              <w:proofErr w:type="spellEnd"/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, Aimee (2010)</w:t>
              </w:r>
            </w:hyperlink>
          </w:p>
          <w:p w:rsidR="00784179" w:rsidRDefault="00FE5317" w:rsidP="00784179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3" w:history="1"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A framework for evaluating economics of knowledge management systems, </w:t>
              </w:r>
              <w:proofErr w:type="spellStart"/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Minsoo</w:t>
              </w:r>
              <w:proofErr w:type="spellEnd"/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 Shin (2004)</w:t>
              </w:r>
            </w:hyperlink>
          </w:p>
          <w:p w:rsidR="00784179" w:rsidRPr="00465D23" w:rsidRDefault="00FE5317" w:rsidP="00841C04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4" w:history="1"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Working Knowledge: How Organizations Manage </w:t>
              </w:r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lastRenderedPageBreak/>
                <w:t xml:space="preserve">What They Know, Thomas H. Davenport and Lawrence </w:t>
              </w:r>
              <w:proofErr w:type="spellStart"/>
              <w:r w:rsidR="00784179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Prusak</w:t>
              </w:r>
              <w:proofErr w:type="spellEnd"/>
            </w:hyperlink>
            <w:bookmarkStart w:id="0" w:name="_GoBack"/>
            <w:bookmarkEnd w:id="0"/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41C04" w:rsidRDefault="00FE5317" w:rsidP="00841C04">
            <w:pPr>
              <w:pStyle w:val="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5" w:history="1">
              <w:r w:rsidR="00841C04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Energy Management Foundation Training - Module 14</w:t>
              </w:r>
            </w:hyperlink>
          </w:p>
          <w:p w:rsidR="00841C04" w:rsidRDefault="00FE5317" w:rsidP="00841C04">
            <w:pPr>
              <w:pStyle w:val="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6" w:history="1">
              <w:r w:rsidR="00841C04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Guideline for </w:t>
              </w:r>
              <w:proofErr w:type="spellStart"/>
              <w:r w:rsidR="00841C04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EnMS</w:t>
              </w:r>
              <w:proofErr w:type="spellEnd"/>
              <w:r w:rsidR="00841C04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 Charter</w:t>
              </w:r>
            </w:hyperlink>
          </w:p>
          <w:p w:rsidR="008A1B92" w:rsidRPr="00537FA7" w:rsidRDefault="00FE5317" w:rsidP="00841C04">
            <w:pPr>
              <w:pStyle w:val="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7" w:history="1">
              <w:r w:rsidR="00841C04" w:rsidRPr="0078417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Energy Management Foundation Training - Module 20</w:t>
              </w:r>
            </w:hyperlink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0B66C0" w:rsidTr="007B3C06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0B66C0" w:rsidRDefault="000B66C0" w:rsidP="000B66C0">
            <w:pPr>
              <w:rPr>
                <w:lang w:val="el-GR"/>
              </w:rPr>
            </w:pPr>
            <w:r>
              <w:rPr>
                <w:lang w:val="el-GR"/>
              </w:rPr>
              <w:t>Εργασία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που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οι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εκπαιδευόμενοι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θα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κληθούν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 γράψουν</w:t>
            </w:r>
            <w:r w:rsidRPr="00FD1ED6">
              <w:rPr>
                <w:lang w:val="el-GR"/>
              </w:rPr>
              <w:t xml:space="preserve"> μια πρόταση που απευθύνεται στ</w:t>
            </w:r>
            <w:r>
              <w:rPr>
                <w:lang w:val="el-GR"/>
              </w:rPr>
              <w:t>ην</w:t>
            </w:r>
            <w:r w:rsidRPr="00FD1ED6">
              <w:rPr>
                <w:lang w:val="el-GR"/>
              </w:rPr>
              <w:t xml:space="preserve"> ανώτατ</w:t>
            </w:r>
            <w:r>
              <w:rPr>
                <w:lang w:val="el-GR"/>
              </w:rPr>
              <w:t>η</w:t>
            </w:r>
            <w:r w:rsidRPr="00FD1ED6">
              <w:rPr>
                <w:lang w:val="el-GR"/>
              </w:rPr>
              <w:t xml:space="preserve"> διο</w:t>
            </w:r>
            <w:r>
              <w:rPr>
                <w:lang w:val="el-GR"/>
              </w:rPr>
              <w:t>ίκηση</w:t>
            </w:r>
            <w:r w:rsidRPr="00FD1ED6">
              <w:rPr>
                <w:lang w:val="el-GR"/>
              </w:rPr>
              <w:t xml:space="preserve"> ενός οργανισμού</w:t>
            </w:r>
            <w:r>
              <w:rPr>
                <w:lang w:val="el-GR"/>
              </w:rPr>
              <w:t>. Πρέπει να π</w:t>
            </w:r>
            <w:r w:rsidRPr="00FD1ED6">
              <w:rPr>
                <w:lang w:val="el-GR"/>
              </w:rPr>
              <w:t>εριγράψ</w:t>
            </w:r>
            <w:r>
              <w:rPr>
                <w:lang w:val="el-GR"/>
              </w:rPr>
              <w:t>ουν</w:t>
            </w:r>
            <w:r w:rsidRPr="00FD1ED6">
              <w:rPr>
                <w:lang w:val="el-GR"/>
              </w:rPr>
              <w:t xml:space="preserve"> όλα τα οφέλη </w:t>
            </w:r>
            <w:r>
              <w:rPr>
                <w:lang w:val="el-GR"/>
              </w:rPr>
              <w:t>και τις ευκαιρίες που παρουσιάζονται για τον οργανισμό μέσω της εφαρμογής ενός ΣΔΕ.</w:t>
            </w:r>
          </w:p>
        </w:tc>
      </w:tr>
      <w:tr w:rsidR="00064A21" w:rsidRPr="003269EA" w:rsidTr="007B3C06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3269EA" w:rsidRDefault="003269EA" w:rsidP="003269EA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Στο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τέλος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αυτής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εκπαιδευτικής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μονάδας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εκπαιδευόμενοι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θα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μπορούν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να:</w:t>
            </w:r>
          </w:p>
          <w:p w:rsidR="00465D23" w:rsidRPr="003269EA" w:rsidRDefault="003269EA" w:rsidP="003269EA">
            <w:pPr>
              <w:pStyle w:val="a5"/>
              <w:numPr>
                <w:ilvl w:val="0"/>
                <w:numId w:val="12"/>
              </w:numPr>
              <w:ind w:left="351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Σχεδιάζουν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και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να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διατηρούν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ένα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πλάνο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μέτρησης ενέργειας</w:t>
            </w:r>
          </w:p>
          <w:p w:rsidR="00465D23" w:rsidRPr="003269EA" w:rsidRDefault="003269EA" w:rsidP="003269EA">
            <w:pPr>
              <w:pStyle w:val="a5"/>
              <w:numPr>
                <w:ilvl w:val="0"/>
                <w:numId w:val="12"/>
              </w:numPr>
              <w:ind w:left="351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Σχεδιάζουν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και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να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διατηρούν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ένα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πλάνο διαχείρισης ενέργειας</w:t>
            </w:r>
          </w:p>
          <w:p w:rsidR="00465D23" w:rsidRPr="003269EA" w:rsidRDefault="003269EA" w:rsidP="003269EA">
            <w:pPr>
              <w:pStyle w:val="a5"/>
              <w:numPr>
                <w:ilvl w:val="0"/>
                <w:numId w:val="12"/>
              </w:numPr>
              <w:ind w:left="351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Σχεδιάζουν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και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να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διαχειρίζονται ένα πλάνο εσωτερικού ελέγχου</w:t>
            </w:r>
          </w:p>
          <w:p w:rsidR="00465D23" w:rsidRPr="003269EA" w:rsidRDefault="003269EA" w:rsidP="003269EA">
            <w:pPr>
              <w:pStyle w:val="a5"/>
              <w:numPr>
                <w:ilvl w:val="0"/>
                <w:numId w:val="12"/>
              </w:numPr>
              <w:ind w:left="351"/>
              <w:rPr>
                <w:bCs/>
                <w:lang w:val="el-GR"/>
              </w:rPr>
            </w:pPr>
            <w:r>
              <w:rPr>
                <w:bCs/>
                <w:lang w:val="el-GR"/>
              </w:rPr>
              <w:t>Γράφουν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μία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ενεργειακή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πολιτική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και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όλα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τα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 xml:space="preserve">υπόλοιπα απαιτούμενα έγγραφα του </w:t>
            </w:r>
            <w:r w:rsidR="00465D23" w:rsidRPr="003269EA">
              <w:rPr>
                <w:bCs/>
              </w:rPr>
              <w:t>ISO</w:t>
            </w:r>
            <w:r>
              <w:rPr>
                <w:bCs/>
                <w:lang w:val="el-GR"/>
              </w:rPr>
              <w:t xml:space="preserve"> 50001</w:t>
            </w:r>
          </w:p>
          <w:p w:rsidR="00AE75E0" w:rsidRPr="003269EA" w:rsidRDefault="003269EA" w:rsidP="003269EA">
            <w:pPr>
              <w:pStyle w:val="a5"/>
              <w:numPr>
                <w:ilvl w:val="0"/>
                <w:numId w:val="12"/>
              </w:numPr>
              <w:ind w:left="351"/>
              <w:rPr>
                <w:rFonts w:cs="Arial"/>
                <w:b/>
                <w:iCs/>
                <w:szCs w:val="24"/>
                <w:lang w:val="el-GR"/>
              </w:rPr>
            </w:pPr>
            <w:r>
              <w:rPr>
                <w:bCs/>
                <w:lang w:val="el-GR"/>
              </w:rPr>
              <w:t>Σχεδιάζουν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ένα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Πλαίσιο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Μεταφοράς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Γνώσης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Ενεργειακής</w:t>
            </w:r>
            <w:r w:rsidRPr="003269EA">
              <w:rPr>
                <w:bCs/>
                <w:lang w:val="el-GR"/>
              </w:rPr>
              <w:t xml:space="preserve"> </w:t>
            </w:r>
            <w:r>
              <w:rPr>
                <w:bCs/>
                <w:lang w:val="el-GR"/>
              </w:rPr>
              <w:t>Αποδοτικότητας</w:t>
            </w:r>
          </w:p>
        </w:tc>
      </w:tr>
      <w:tr w:rsidR="006D62CC" w:rsidRPr="003B1BE2" w:rsidTr="007B3C0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3269EA" w:rsidRDefault="003269EA" w:rsidP="00E27D7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Βαθμολόγηση της εργασίας</w:t>
            </w:r>
          </w:p>
        </w:tc>
      </w:tr>
    </w:tbl>
    <w:p w:rsidR="00102854" w:rsidRDefault="00102854" w:rsidP="00465D23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6D62"/>
    <w:multiLevelType w:val="hybridMultilevel"/>
    <w:tmpl w:val="2864DA3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E3B25"/>
    <w:multiLevelType w:val="hybridMultilevel"/>
    <w:tmpl w:val="951240F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B3FC8"/>
    <w:multiLevelType w:val="hybridMultilevel"/>
    <w:tmpl w:val="60C018C8"/>
    <w:lvl w:ilvl="0" w:tplc="3766D57A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EB26F1"/>
    <w:multiLevelType w:val="hybridMultilevel"/>
    <w:tmpl w:val="4E80D60E"/>
    <w:lvl w:ilvl="0" w:tplc="76C60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EADF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9E4F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ECD1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24B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424C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EC1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DC1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34B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D0611A5"/>
    <w:multiLevelType w:val="hybridMultilevel"/>
    <w:tmpl w:val="4A18E4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612E7081"/>
    <w:multiLevelType w:val="hybridMultilevel"/>
    <w:tmpl w:val="B7248AC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52508A5"/>
    <w:multiLevelType w:val="hybridMultilevel"/>
    <w:tmpl w:val="778CA79C"/>
    <w:lvl w:ilvl="0" w:tplc="691019B4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3D4BA1"/>
    <w:multiLevelType w:val="hybridMultilevel"/>
    <w:tmpl w:val="2F9612B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681B97"/>
    <w:multiLevelType w:val="hybridMultilevel"/>
    <w:tmpl w:val="D24E8BF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6B6BC4"/>
    <w:multiLevelType w:val="hybridMultilevel"/>
    <w:tmpl w:val="FCAE39B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351A56"/>
    <w:multiLevelType w:val="hybridMultilevel"/>
    <w:tmpl w:val="361ACB7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3"/>
  </w:num>
  <w:num w:numId="5">
    <w:abstractNumId w:val="11"/>
  </w:num>
  <w:num w:numId="6">
    <w:abstractNumId w:val="8"/>
  </w:num>
  <w:num w:numId="7">
    <w:abstractNumId w:val="0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02854"/>
    <w:rsid w:val="00064A21"/>
    <w:rsid w:val="000B0EFD"/>
    <w:rsid w:val="000B53CC"/>
    <w:rsid w:val="000B66C0"/>
    <w:rsid w:val="00102854"/>
    <w:rsid w:val="00104E02"/>
    <w:rsid w:val="00325400"/>
    <w:rsid w:val="003269EA"/>
    <w:rsid w:val="00356F53"/>
    <w:rsid w:val="003B1BE2"/>
    <w:rsid w:val="00465D23"/>
    <w:rsid w:val="00485521"/>
    <w:rsid w:val="00487A42"/>
    <w:rsid w:val="004A61F2"/>
    <w:rsid w:val="004B4A0C"/>
    <w:rsid w:val="004D194D"/>
    <w:rsid w:val="00537FA7"/>
    <w:rsid w:val="00542747"/>
    <w:rsid w:val="00575DC1"/>
    <w:rsid w:val="005B19D9"/>
    <w:rsid w:val="006D62CC"/>
    <w:rsid w:val="0077183D"/>
    <w:rsid w:val="00784179"/>
    <w:rsid w:val="007B3C06"/>
    <w:rsid w:val="00835F46"/>
    <w:rsid w:val="00841C04"/>
    <w:rsid w:val="008A1B92"/>
    <w:rsid w:val="009D2B11"/>
    <w:rsid w:val="00A0483E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E27D7C"/>
    <w:rsid w:val="00E63C69"/>
    <w:rsid w:val="00E835D0"/>
    <w:rsid w:val="00F061AA"/>
    <w:rsid w:val="00F36AEB"/>
    <w:rsid w:val="00F56EEE"/>
    <w:rsid w:val="00FE5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72"/>
    <w:qFormat/>
    <w:rsid w:val="00575DC1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7B3C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575D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3C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3?preview=%5B4.3.009%5D+Making-the-most-of-our-companys-knowledge.Strategic-framework-2001.pdf" TargetMode="External"/><Relationship Id="rId13" Type="http://schemas.openxmlformats.org/officeDocument/2006/relationships/hyperlink" Target="https://www.dropbox.com/home/EPOQUE%20project/epoque_o5/Course%20IV/Module%203?preview=%5B4.3.015%5D+19)17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dropbox.com/home/EPOQUE%20project/epoque_o5/Course%20IV/Module%203?preview=%5B4.3.008%5D+energy-management-guide.pdf" TargetMode="External"/><Relationship Id="rId12" Type="http://schemas.openxmlformats.org/officeDocument/2006/relationships/hyperlink" Target="https://www.dropbox.com/home/EPOQUE%20project/epoque_o5/Course%20IV/Module%203?preview=%5B4.3.014%5D+eScholarship+UC+item+92d8q553.pdf" TargetMode="External"/><Relationship Id="rId17" Type="http://schemas.openxmlformats.org/officeDocument/2006/relationships/hyperlink" Target="https://www.youtube.com/watch?v=MwsbSJ7Qfm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xGpLyt2yXDg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home/EPOQUE%20project/epoque_o5/Course%20IV/Module%203?preview=%5B4.3.007%5D+Vikhorev12Advanced.pdf" TargetMode="External"/><Relationship Id="rId11" Type="http://schemas.openxmlformats.org/officeDocument/2006/relationships/hyperlink" Target="https://www.dropbox.com/home/EPOQUE%20project/epoque_o5/Course%20IV/Module%203?preview=%5B4.3.013%5D+eScholarship+UC+item+3j5411bd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UiDzZout2Lk" TargetMode="External"/><Relationship Id="rId10" Type="http://schemas.openxmlformats.org/officeDocument/2006/relationships/hyperlink" Target="https://www.dropbox.com/home/EPOQUE%20project/epoque_o5/Course%20IV/Module%203?preview=%5B4.3.012%5D+Scenario-Modelling_2012_EB_ForDistribution+done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dropbox.com/home/EPOQUE%20project/epoque_o5/Course%20IV/Module%203?preview=%5B4.3.011%5D+2013+-+Success+factors+of+energy+management+in+energyintensive+industrie....pdf" TargetMode="External"/><Relationship Id="rId14" Type="http://schemas.openxmlformats.org/officeDocument/2006/relationships/hyperlink" Target="https://www.dropbox.com/home/EPOQUE%20project/epoque_o5/Course%20IV/Module%203?preview=%5B4.3.016%5D+T1-Chapter1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3EB77-1C0A-4245-8C86-91E53B6B2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755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dodinio</cp:lastModifiedBy>
  <cp:revision>4</cp:revision>
  <dcterms:created xsi:type="dcterms:W3CDTF">2016-03-28T12:19:00Z</dcterms:created>
  <dcterms:modified xsi:type="dcterms:W3CDTF">2016-08-05T10:30:00Z</dcterms:modified>
</cp:coreProperties>
</file>