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B1101B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B1101B" w:rsidRDefault="00B1101B" w:rsidP="00E63C69">
            <w:pPr>
              <w:rPr>
                <w:b/>
                <w:lang w:val="el-GR"/>
              </w:rPr>
            </w:pPr>
            <w:r w:rsidRPr="00F97D01">
              <w:rPr>
                <w:lang w:val="el-GR"/>
              </w:rPr>
              <w:t xml:space="preserve">Ορισμοί κοινής ενεργειακής ορολογίας &amp; </w:t>
            </w:r>
            <w:r>
              <w:rPr>
                <w:lang w:val="el-GR"/>
              </w:rPr>
              <w:t>Πηγές ενέργειας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82660" w:rsidP="00E63C69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82660" w:rsidP="00E63C69">
            <w:r>
              <w:t>1/1</w:t>
            </w:r>
          </w:p>
        </w:tc>
      </w:tr>
      <w:tr w:rsidR="00AC641D" w:rsidRPr="00B1101B" w:rsidTr="003B1BE2"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B1101B" w:rsidRDefault="00B1101B" w:rsidP="00B1101B">
            <w:pPr>
              <w:rPr>
                <w:b/>
                <w:lang w:val="el-GR"/>
              </w:rPr>
            </w:pPr>
            <w:r>
              <w:rPr>
                <w:lang w:val="el-GR"/>
              </w:rPr>
              <w:t>πηγές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ενέργειας</w:t>
            </w:r>
            <w:r w:rsidR="00882660" w:rsidRPr="00B1101B">
              <w:rPr>
                <w:lang w:val="el-GR"/>
              </w:rPr>
              <w:t xml:space="preserve">, </w:t>
            </w:r>
            <w:r>
              <w:rPr>
                <w:lang w:val="el-GR"/>
              </w:rPr>
              <w:t>ανανεώσιμη ενέργεια</w:t>
            </w:r>
            <w:r w:rsidR="00882660" w:rsidRPr="00B1101B">
              <w:rPr>
                <w:lang w:val="el-GR"/>
              </w:rPr>
              <w:t xml:space="preserve">, </w:t>
            </w:r>
            <w:r>
              <w:rPr>
                <w:lang w:val="el-GR"/>
              </w:rPr>
              <w:t>αποτύπωμα άνθρακα</w:t>
            </w:r>
          </w:p>
        </w:tc>
      </w:tr>
      <w:tr w:rsidR="00AC641D" w:rsidRPr="00B1101B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B1101B" w:rsidRDefault="00B1101B" w:rsidP="00B1101B">
            <w:pPr>
              <w:rPr>
                <w:lang w:val="el-GR"/>
              </w:rPr>
            </w:pPr>
            <w:r>
              <w:rPr>
                <w:lang w:val="el-GR"/>
              </w:rPr>
              <w:t>Παροχή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μίας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επισκόπησης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ενεργειακής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ορολογίας</w:t>
            </w:r>
            <w:r w:rsidRPr="00B1101B">
              <w:rPr>
                <w:lang w:val="el-GR"/>
              </w:rPr>
              <w:t xml:space="preserve">, </w:t>
            </w:r>
            <w:r>
              <w:rPr>
                <w:lang w:val="el-GR"/>
              </w:rPr>
              <w:t>καθώς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πηγών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ενέργειας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επιδράσεις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τους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B1101B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κοινωνία.</w:t>
            </w:r>
          </w:p>
        </w:tc>
      </w:tr>
      <w:tr w:rsidR="004A61F2" w:rsidRPr="00B1101B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B1101B" w:rsidP="004A61F2">
            <w:r>
              <w:rPr>
                <w:lang w:val="el-GR"/>
              </w:rPr>
              <w:t>Οι εκπαιδευόμενοι θα</w:t>
            </w:r>
            <w:r w:rsidR="00882660">
              <w:t>:</w:t>
            </w:r>
          </w:p>
          <w:p w:rsidR="00882660" w:rsidRPr="00782233" w:rsidRDefault="00B1101B" w:rsidP="00782233">
            <w:pPr>
              <w:pStyle w:val="a5"/>
              <w:numPr>
                <w:ilvl w:val="0"/>
                <w:numId w:val="9"/>
              </w:numPr>
              <w:ind w:left="351"/>
              <w:rPr>
                <w:lang w:val="el-GR"/>
              </w:rPr>
            </w:pPr>
            <w:r w:rsidRPr="00782233">
              <w:rPr>
                <w:lang w:val="el-GR"/>
              </w:rPr>
              <w:t>Εξοικειωθούν με την κοινή ενεργειακή ορολογία</w:t>
            </w:r>
          </w:p>
          <w:p w:rsidR="00882660" w:rsidRPr="00782233" w:rsidRDefault="00B1101B" w:rsidP="00782233">
            <w:pPr>
              <w:pStyle w:val="a5"/>
              <w:numPr>
                <w:ilvl w:val="0"/>
                <w:numId w:val="9"/>
              </w:numPr>
              <w:ind w:left="351"/>
              <w:rPr>
                <w:lang w:val="el-GR"/>
              </w:rPr>
            </w:pPr>
            <w:r w:rsidRPr="00782233">
              <w:rPr>
                <w:lang w:val="el-GR"/>
              </w:rPr>
              <w:t>Αποκτήσουν γνώση για τις μη ανανεώσιμες πηγές ενέργειας και θα μπορούν να συζητήσουν τις επιδράσεις τους στην κοινωνία</w:t>
            </w:r>
          </w:p>
          <w:p w:rsidR="00882660" w:rsidRPr="00782233" w:rsidRDefault="00B1101B" w:rsidP="00782233">
            <w:pPr>
              <w:pStyle w:val="a5"/>
              <w:numPr>
                <w:ilvl w:val="0"/>
                <w:numId w:val="9"/>
              </w:numPr>
              <w:ind w:left="351"/>
              <w:rPr>
                <w:lang w:val="el-GR"/>
              </w:rPr>
            </w:pPr>
            <w:r w:rsidRPr="00782233">
              <w:rPr>
                <w:lang w:val="el-GR"/>
              </w:rPr>
              <w:t>Αποκτήσουν γνώση για τις τεχνολογίες ανανεώσιμης ενέργειας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82660" w:rsidRPr="00B1101B" w:rsidRDefault="00B1101B" w:rsidP="00882660">
            <w:pPr>
              <w:rPr>
                <w:lang w:val="el-GR"/>
              </w:rPr>
            </w:pPr>
            <w:r>
              <w:rPr>
                <w:lang w:val="el-GR"/>
              </w:rPr>
              <w:t>Παρουσίαση σε ηλεκτρονική μορφή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1A4AEE" w:rsidRDefault="00B1101B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  <w:t>Έγγραφα</w:t>
            </w:r>
            <w:r w:rsidR="004F2C40" w:rsidRPr="001A4AEE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4F2C40" w:rsidRDefault="001D0A13" w:rsidP="004F2C40">
            <w:pPr>
              <w:pStyle w:val="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5" w:history="1">
              <w:r w:rsidR="004F2C40" w:rsidRPr="00087BC7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European Environment Agency, Final energy consumption intensity (ENER 021) - Assessment published </w:t>
              </w:r>
              <w:r w:rsidR="00087BC7" w:rsidRPr="00087BC7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Oct</w:t>
              </w:r>
              <w:r w:rsidR="004F2C40" w:rsidRPr="00087BC7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 2015</w:t>
              </w:r>
            </w:hyperlink>
          </w:p>
          <w:p w:rsidR="004F2C40" w:rsidRDefault="001D0A13" w:rsidP="004F2C40">
            <w:pPr>
              <w:pStyle w:val="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="004F2C40" w:rsidRPr="00FF166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European Environment Agency, Efficiency of conventional thermal electricity and heat production (ENER 019) - Assessment published </w:t>
              </w:r>
              <w:r w:rsidR="00FF166D" w:rsidRPr="00FF166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Oct</w:t>
              </w:r>
              <w:r w:rsidR="004F2C40" w:rsidRPr="00FF166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 2015</w:t>
              </w:r>
            </w:hyperlink>
          </w:p>
          <w:p w:rsidR="004F2C40" w:rsidRDefault="001D0A13" w:rsidP="004F2C40">
            <w:pPr>
              <w:pStyle w:val="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="004F2C40" w:rsidRPr="00BD1B26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 xml:space="preserve">European Environment Agency, Progression energy efficiency in Europe (ENER 037) </w:t>
              </w:r>
              <w:r w:rsidR="00BD1B26" w:rsidRPr="00BD1B26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- Assessment published Jan 2016</w:t>
              </w:r>
            </w:hyperlink>
          </w:p>
          <w:p w:rsidR="004F2C40" w:rsidRPr="004F2C40" w:rsidRDefault="001D0A13" w:rsidP="004F2C40">
            <w:pPr>
              <w:pStyle w:val="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Style w:val="-"/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="004F2C40" w:rsidRPr="004F2C40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Environmental, economic, and energetic costs and benefits of biodiesel and ethanol biofuels</w:t>
              </w:r>
            </w:hyperlink>
            <w:r w:rsidR="004F2C40" w:rsidRPr="004F2C40">
              <w:rPr>
                <w:rStyle w:val="-"/>
                <w:rFonts w:ascii="Calibri" w:hAnsi="Calibri" w:cs="Arial"/>
                <w:iCs/>
                <w:sz w:val="24"/>
                <w:szCs w:val="24"/>
              </w:rPr>
              <w:t xml:space="preserve">, , Jason </w:t>
            </w:r>
            <w:r w:rsidR="004F2C40" w:rsidRPr="004F2C40">
              <w:rPr>
                <w:rStyle w:val="-"/>
                <w:rFonts w:ascii="Calibri" w:hAnsi="Calibri" w:cs="Arial"/>
                <w:iCs/>
                <w:sz w:val="24"/>
                <w:szCs w:val="24"/>
              </w:rPr>
              <w:lastRenderedPageBreak/>
              <w:t xml:space="preserve">Hill, Erik Nelson, David </w:t>
            </w:r>
            <w:proofErr w:type="spellStart"/>
            <w:r w:rsidR="004F2C40" w:rsidRPr="004F2C40">
              <w:rPr>
                <w:rStyle w:val="-"/>
                <w:rFonts w:ascii="Calibri" w:hAnsi="Calibri" w:cs="Arial"/>
                <w:iCs/>
                <w:sz w:val="24"/>
                <w:szCs w:val="24"/>
              </w:rPr>
              <w:t>Tilman</w:t>
            </w:r>
            <w:proofErr w:type="spellEnd"/>
            <w:r w:rsidR="004F2C40" w:rsidRPr="004F2C40">
              <w:rPr>
                <w:rStyle w:val="-"/>
                <w:rFonts w:ascii="Calibri" w:hAnsi="Calibri" w:cs="Arial"/>
                <w:iCs/>
                <w:sz w:val="24"/>
                <w:szCs w:val="24"/>
              </w:rPr>
              <w:t xml:space="preserve">, Stephen </w:t>
            </w:r>
            <w:proofErr w:type="spellStart"/>
            <w:r w:rsidR="004F2C40" w:rsidRPr="004F2C40">
              <w:rPr>
                <w:rStyle w:val="-"/>
                <w:rFonts w:ascii="Calibri" w:hAnsi="Calibri" w:cs="Arial"/>
                <w:iCs/>
                <w:sz w:val="24"/>
                <w:szCs w:val="24"/>
              </w:rPr>
              <w:t>Polasky</w:t>
            </w:r>
            <w:proofErr w:type="spellEnd"/>
            <w:r w:rsidR="004F2C40" w:rsidRPr="004F2C40">
              <w:rPr>
                <w:rStyle w:val="-"/>
                <w:rFonts w:ascii="Calibri" w:hAnsi="Calibri" w:cs="Arial"/>
                <w:iCs/>
                <w:sz w:val="24"/>
                <w:szCs w:val="24"/>
              </w:rPr>
              <w:t>, and Douglas Tiffany </w:t>
            </w:r>
          </w:p>
          <w:p w:rsidR="004F2C40" w:rsidRPr="00FB640D" w:rsidRDefault="001D0A13" w:rsidP="004F2C40">
            <w:pPr>
              <w:pStyle w:val="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Style w:val="-"/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begin"/>
            </w:r>
            <w:r w:rsidR="00FB640D">
              <w:rPr>
                <w:rFonts w:ascii="Calibri" w:hAnsi="Calibri" w:cs="Arial"/>
                <w:iCs/>
                <w:sz w:val="24"/>
                <w:szCs w:val="24"/>
              </w:rPr>
              <w:instrText xml:space="preserve"> HYPERLINK "https://www.dropbox.com/home/EPOQUE%20project/epoque_o5/Course%20IV/Module%201?preview=%5B4.1.006%5D+Borel-Saladin_et_al-2013-Environmental_Policy_and_Governance.pdf" </w:instrText>
            </w: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separate"/>
            </w:r>
            <w:proofErr w:type="spellStart"/>
            <w:r w:rsidR="004F2C40" w:rsidRPr="00FB640D">
              <w:rPr>
                <w:rStyle w:val="-"/>
                <w:rFonts w:ascii="Calibri" w:hAnsi="Calibri" w:cs="Arial"/>
                <w:iCs/>
                <w:sz w:val="24"/>
                <w:szCs w:val="24"/>
              </w:rPr>
              <w:t>Borel</w:t>
            </w:r>
            <w:proofErr w:type="spellEnd"/>
            <w:r w:rsidR="004F2C40" w:rsidRPr="00FB640D">
              <w:rPr>
                <w:rStyle w:val="-"/>
                <w:rFonts w:ascii="Calibri" w:hAnsi="Calibri" w:cs="Arial"/>
                <w:iCs/>
                <w:sz w:val="24"/>
                <w:szCs w:val="24"/>
              </w:rPr>
              <w:t xml:space="preserve">-Saladin, J.M. / I. N. </w:t>
            </w:r>
            <w:proofErr w:type="spellStart"/>
            <w:r w:rsidR="004F2C40" w:rsidRPr="00FB640D">
              <w:rPr>
                <w:rStyle w:val="-"/>
                <w:rFonts w:ascii="Calibri" w:hAnsi="Calibri" w:cs="Arial"/>
                <w:iCs/>
                <w:sz w:val="24"/>
                <w:szCs w:val="24"/>
              </w:rPr>
              <w:t>Turok</w:t>
            </w:r>
            <w:proofErr w:type="spellEnd"/>
            <w:r w:rsidR="004F2C40" w:rsidRPr="00FB640D">
              <w:rPr>
                <w:rStyle w:val="-"/>
                <w:rFonts w:ascii="Calibri" w:hAnsi="Calibri" w:cs="Arial"/>
                <w:iCs/>
                <w:sz w:val="24"/>
                <w:szCs w:val="24"/>
              </w:rPr>
              <w:t xml:space="preserve"> (2013): The Green Economy: Incremental Change or Transformation? Environmental Policy and Governance, 23, 209-220.</w:t>
            </w:r>
          </w:p>
          <w:p w:rsidR="004F2C40" w:rsidRDefault="001D0A13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end"/>
            </w:r>
            <w:bookmarkStart w:id="0" w:name="_GoBack"/>
            <w:bookmarkEnd w:id="0"/>
            <w:proofErr w:type="spellStart"/>
            <w:r w:rsidR="00B1101B"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  <w:t>Ιστότοποι</w:t>
            </w:r>
            <w:proofErr w:type="spellEnd"/>
            <w:r w:rsidR="001A4AEE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1A4AEE" w:rsidRDefault="001D0A13" w:rsidP="001A4AEE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1A4AEE" w:rsidRPr="001A4AEE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ODYSSEE-MURE</w:t>
              </w:r>
            </w:hyperlink>
          </w:p>
          <w:p w:rsidR="001A4AEE" w:rsidRDefault="001D0A13" w:rsidP="001A4AEE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0" w:history="1">
              <w:r w:rsidR="001A4AEE" w:rsidRPr="001A4AEE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Intelligent Energy Europe, EC</w:t>
              </w:r>
            </w:hyperlink>
          </w:p>
          <w:p w:rsidR="001A4AEE" w:rsidRDefault="001D0A13" w:rsidP="001A4AEE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1" w:history="1">
              <w:r w:rsidR="001A4AEE" w:rsidRPr="001A4AEE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The Energy Technology Data Exchange, ETDE</w:t>
              </w:r>
            </w:hyperlink>
          </w:p>
          <w:p w:rsidR="001A4AEE" w:rsidRDefault="001D0A13" w:rsidP="001A4AEE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2" w:history="1">
              <w:r w:rsidR="001A4AEE" w:rsidRPr="001A4AEE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Depository of all NEEAPs for EU Member States</w:t>
              </w:r>
            </w:hyperlink>
          </w:p>
          <w:p w:rsidR="001A4AEE" w:rsidRPr="001A4AEE" w:rsidRDefault="001D0A13" w:rsidP="001A4AEE">
            <w:pPr>
              <w:pStyle w:val="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3" w:history="1">
              <w:r w:rsidR="001A4AEE" w:rsidRPr="001A4AEE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Greenhouse Gas Conversion Factor Repository</w:t>
              </w:r>
            </w:hyperlink>
          </w:p>
          <w:p w:rsidR="001A4AEE" w:rsidRPr="003B1BE2" w:rsidRDefault="001A4AEE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1D0A13" w:rsidP="001A4AEE">
            <w:pPr>
              <w:pStyle w:val="Web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/>
                <w:sz w:val="24"/>
                <w:szCs w:val="24"/>
              </w:rPr>
            </w:pPr>
            <w:hyperlink r:id="rId14" w:history="1">
              <w:r w:rsidR="001A4AEE" w:rsidRPr="001A4AEE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Energy Conservation and Energy Efficiency: Examples and Differences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B1101B" w:rsidRDefault="00B1101B" w:rsidP="006D62CC">
            <w:pPr>
              <w:rPr>
                <w:lang w:val="el-GR"/>
              </w:rPr>
            </w:pPr>
            <w:r>
              <w:rPr>
                <w:lang w:val="el-GR"/>
              </w:rPr>
              <w:t>καμία</w:t>
            </w:r>
          </w:p>
        </w:tc>
      </w:tr>
      <w:tr w:rsidR="00064A21" w:rsidRPr="00B1101B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B1101B" w:rsidRDefault="00B1101B" w:rsidP="006914F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 w:rsid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υτής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εκπαιδευτικής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μονάδας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θα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μπορούν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να:</w:t>
            </w:r>
          </w:p>
          <w:p w:rsidR="00AE75E0" w:rsidRPr="00B1101B" w:rsidRDefault="00B1101B" w:rsidP="00B1101B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Κατανοούν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την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κοινή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ενεργειακή</w:t>
            </w:r>
            <w:r w:rsidRPr="00B1101B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ορολογία και τα αποτελέσματα της παραγωγής ενέργειας.</w:t>
            </w:r>
          </w:p>
        </w:tc>
      </w:tr>
      <w:tr w:rsidR="006D62CC" w:rsidRPr="00782233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782233" w:rsidRDefault="00B1101B" w:rsidP="00B1101B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Δε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γίνεται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αξιολόγηση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σε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αυτή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φάση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του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προγράμματος</w:t>
            </w:r>
            <w:r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εκπαίδευσης</w:t>
            </w:r>
            <w:r w:rsidR="006914F2" w:rsidRPr="0078223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.</w:t>
            </w:r>
          </w:p>
        </w:tc>
      </w:tr>
    </w:tbl>
    <w:p w:rsidR="00AC641D" w:rsidRPr="00782233" w:rsidRDefault="00AC641D">
      <w:pPr>
        <w:rPr>
          <w:lang w:val="el-GR"/>
        </w:rPr>
      </w:pPr>
    </w:p>
    <w:sectPr w:rsidR="00AC641D" w:rsidRPr="00782233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3137"/>
    <w:multiLevelType w:val="hybridMultilevel"/>
    <w:tmpl w:val="B3881D2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16D2C"/>
    <w:multiLevelType w:val="hybridMultilevel"/>
    <w:tmpl w:val="E1ECE1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02B50"/>
    <w:multiLevelType w:val="hybridMultilevel"/>
    <w:tmpl w:val="B1580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DCE6ABE"/>
    <w:multiLevelType w:val="hybridMultilevel"/>
    <w:tmpl w:val="7852737E"/>
    <w:lvl w:ilvl="0" w:tplc="0408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6">
    <w:nsid w:val="5F83645B"/>
    <w:multiLevelType w:val="hybridMultilevel"/>
    <w:tmpl w:val="64D247C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C7B66"/>
    <w:multiLevelType w:val="hybridMultilevel"/>
    <w:tmpl w:val="8AA2C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5E2860"/>
    <w:multiLevelType w:val="hybridMultilevel"/>
    <w:tmpl w:val="267A6B6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02854"/>
    <w:rsid w:val="00064A21"/>
    <w:rsid w:val="00087BC7"/>
    <w:rsid w:val="000B53CC"/>
    <w:rsid w:val="00102854"/>
    <w:rsid w:val="00104E02"/>
    <w:rsid w:val="001A4AEE"/>
    <w:rsid w:val="001D0A13"/>
    <w:rsid w:val="00325400"/>
    <w:rsid w:val="00356F53"/>
    <w:rsid w:val="003B1BE2"/>
    <w:rsid w:val="00487A42"/>
    <w:rsid w:val="004A61F2"/>
    <w:rsid w:val="004F2C40"/>
    <w:rsid w:val="00537FA7"/>
    <w:rsid w:val="00542747"/>
    <w:rsid w:val="005B19D9"/>
    <w:rsid w:val="006914F2"/>
    <w:rsid w:val="006D62CC"/>
    <w:rsid w:val="0077183D"/>
    <w:rsid w:val="00782233"/>
    <w:rsid w:val="00835F46"/>
    <w:rsid w:val="00882660"/>
    <w:rsid w:val="008A1B92"/>
    <w:rsid w:val="009D2B11"/>
    <w:rsid w:val="00A21099"/>
    <w:rsid w:val="00AC641D"/>
    <w:rsid w:val="00AE75E0"/>
    <w:rsid w:val="00B1101B"/>
    <w:rsid w:val="00B56B9B"/>
    <w:rsid w:val="00B80BBC"/>
    <w:rsid w:val="00B95FE1"/>
    <w:rsid w:val="00BD1B26"/>
    <w:rsid w:val="00C43441"/>
    <w:rsid w:val="00CB2FAB"/>
    <w:rsid w:val="00CF61FD"/>
    <w:rsid w:val="00E27D7C"/>
    <w:rsid w:val="00E63C69"/>
    <w:rsid w:val="00F36AEB"/>
    <w:rsid w:val="00F56EEE"/>
    <w:rsid w:val="00FB640D"/>
    <w:rsid w:val="00FF1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72"/>
    <w:qFormat/>
    <w:rsid w:val="00882660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882660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FF16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8826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26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66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nas.org/content/103/30/11206.abstract" TargetMode="External"/><Relationship Id="rId13" Type="http://schemas.openxmlformats.org/officeDocument/2006/relationships/hyperlink" Target="http://www.ukconversionfactorscarbonsmart.co.u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ea.europa.eu/data-and-maps/indicators/progress-on-energy-efficiency-in-europe-2/assessment-1" TargetMode="External"/><Relationship Id="rId12" Type="http://schemas.openxmlformats.org/officeDocument/2006/relationships/hyperlink" Target="https://ec.europa.eu/energy/en/topics/energy-efficiency/energy-efficiency-directive/national-energy-efficiency-action-plans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ea.europa.eu/data-and-maps/indicators/efficiency-of-conventional-thermal-electricity-generation-4/assessment" TargetMode="External"/><Relationship Id="rId11" Type="http://schemas.openxmlformats.org/officeDocument/2006/relationships/hyperlink" Target="http://www.etde.org/" TargetMode="External"/><Relationship Id="rId5" Type="http://schemas.openxmlformats.org/officeDocument/2006/relationships/hyperlink" Target="http://www.eea.europa.eu/data-and-maps/indicators/final-energy-consumption-intensity-4/assessment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c.europa.eu/energy/intellig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dyssee-mure.eu/" TargetMode="External"/><Relationship Id="rId14" Type="http://schemas.openxmlformats.org/officeDocument/2006/relationships/hyperlink" Target="http://study.com/academy/lesson/energy-conservation-and-energy-efficiency-examples-and-differences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468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10</cp:revision>
  <dcterms:created xsi:type="dcterms:W3CDTF">2015-10-07T06:44:00Z</dcterms:created>
  <dcterms:modified xsi:type="dcterms:W3CDTF">2016-08-05T09:10:00Z</dcterms:modified>
</cp:coreProperties>
</file>