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B8" w:rsidRPr="00EC31A0" w:rsidRDefault="004153B8" w:rsidP="004153B8">
      <w:pPr>
        <w:rPr>
          <w:b/>
          <w:sz w:val="28"/>
          <w:szCs w:val="28"/>
          <w:lang w:val="en-US"/>
        </w:rPr>
      </w:pPr>
      <w:r w:rsidRPr="00EC31A0">
        <w:rPr>
          <w:b/>
          <w:sz w:val="28"/>
          <w:szCs w:val="28"/>
          <w:lang w:val="en-US"/>
        </w:rPr>
        <w:t>Προφίλ Μεταδεδομένων 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4153B8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4153B8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4153B8" w:rsidRPr="003F28DE" w:rsidRDefault="004153B8" w:rsidP="00A132D4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4153B8" w:rsidRPr="00A05542" w:rsidRDefault="004153B8" w:rsidP="00A132D4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4153B8" w:rsidRPr="003F28DE" w:rsidRDefault="004153B8" w:rsidP="00A132D4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4153B8" w:rsidRPr="001E79BA" w:rsidTr="007B5D31">
        <w:tc>
          <w:tcPr>
            <w:tcW w:w="515" w:type="pct"/>
          </w:tcPr>
          <w:p w:rsidR="004153B8" w:rsidRPr="00A920C1" w:rsidRDefault="004153B8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4153B8" w:rsidRPr="003F28DE" w:rsidRDefault="004153B8" w:rsidP="00A132D4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4153B8" w:rsidRPr="00A920C1" w:rsidRDefault="004153B8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2-1-010</w:t>
            </w:r>
          </w:p>
        </w:tc>
      </w:tr>
      <w:tr w:rsidR="004153B8" w:rsidRPr="004153B8" w:rsidTr="007B5D31">
        <w:tc>
          <w:tcPr>
            <w:tcW w:w="515" w:type="pct"/>
          </w:tcPr>
          <w:p w:rsidR="004153B8" w:rsidRPr="00A920C1" w:rsidRDefault="004153B8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4153B8" w:rsidRPr="003F28DE" w:rsidRDefault="004153B8" w:rsidP="00A132D4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4153B8" w:rsidRPr="004153B8" w:rsidRDefault="004153B8" w:rsidP="00346234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4153B8">
              <w:rPr>
                <w:color w:val="808080" w:themeColor="background1" w:themeShade="80"/>
                <w:sz w:val="20"/>
                <w:szCs w:val="20"/>
              </w:rPr>
              <w:t>Κατάσταση της Βαλτικής Θάλασσας.</w:t>
            </w:r>
            <w:r>
              <w:rPr>
                <w:color w:val="808080" w:themeColor="background1" w:themeShade="80"/>
                <w:sz w:val="20"/>
                <w:szCs w:val="20"/>
              </w:rPr>
              <w:t xml:space="preserve"> Άρθρο Υποβάθρου</w:t>
            </w:r>
          </w:p>
        </w:tc>
      </w:tr>
      <w:tr w:rsidR="004153B8" w:rsidRPr="001D0C13" w:rsidTr="007B5D31">
        <w:tc>
          <w:tcPr>
            <w:tcW w:w="515" w:type="pct"/>
          </w:tcPr>
          <w:p w:rsidR="004153B8" w:rsidRPr="004153B8" w:rsidRDefault="004153B8" w:rsidP="000F10B9">
            <w:pPr>
              <w:spacing w:after="0" w:line="240" w:lineRule="auto"/>
              <w:jc w:val="center"/>
              <w:rPr>
                <w:b/>
              </w:rPr>
            </w:pPr>
            <w:r w:rsidRPr="004153B8"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4153B8" w:rsidRPr="004153B8" w:rsidRDefault="004153B8" w:rsidP="00A132D4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4153B8" w:rsidRPr="004153B8" w:rsidRDefault="004153B8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4153B8" w:rsidRPr="004153B8" w:rsidTr="007B5D31">
        <w:tc>
          <w:tcPr>
            <w:tcW w:w="515" w:type="pct"/>
          </w:tcPr>
          <w:p w:rsidR="004153B8" w:rsidRPr="004153B8" w:rsidRDefault="004153B8" w:rsidP="000F10B9">
            <w:pPr>
              <w:spacing w:after="0" w:line="240" w:lineRule="auto"/>
              <w:jc w:val="center"/>
              <w:rPr>
                <w:b/>
              </w:rPr>
            </w:pPr>
            <w:r w:rsidRPr="004153B8"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4153B8" w:rsidRPr="004153B8" w:rsidRDefault="004153B8" w:rsidP="00A132D4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Περιγραφή</w:t>
            </w:r>
            <w:r w:rsidRPr="004153B8">
              <w:rPr>
                <w:b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4153B8" w:rsidRPr="004153B8" w:rsidRDefault="004153B8" w:rsidP="004153B8">
            <w:pPr>
              <w:tabs>
                <w:tab w:val="left" w:pos="5085"/>
              </w:tabs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</w:rPr>
            </w:pP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Ο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κύριος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σκοπός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του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άρθρου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είναι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να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περιγράψει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το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οικοσύστημα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της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Βαλτικής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Θάλασσας και την κατάστασή του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.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Το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άρθρο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δίνει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ένα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ιστορικό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πλαίσιο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των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ειδικών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χαρακτηριστικών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και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περιγράφει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την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περιβαλλοντική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κατάσταση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και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τα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κύρια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προβλήματα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που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απειλούν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το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οικοσύστημα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,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όπως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επίσης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πως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αυτά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 xml:space="preserve"> </w:t>
            </w:r>
            <w:r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επηρεάζουν την ικανότητα της Βαλτικής Θάλασσας να παρέχει τα απαραίτητα αγαθά και τις υπηρεσίες του οικοσυστήματος</w:t>
            </w:r>
            <w:r w:rsidRPr="004153B8">
              <w:rPr>
                <w:rFonts w:ascii="MinionPro-Regular" w:eastAsia="Times New Roman" w:hAnsi="MinionPro-Regular" w:cs="MinionPro-Regular"/>
                <w:color w:val="808080" w:themeColor="background1" w:themeShade="80"/>
                <w:sz w:val="20"/>
              </w:rPr>
              <w:t>.</w:t>
            </w:r>
          </w:p>
        </w:tc>
      </w:tr>
      <w:tr w:rsidR="004153B8" w:rsidRPr="00955C34" w:rsidTr="007B5D31">
        <w:tc>
          <w:tcPr>
            <w:tcW w:w="515" w:type="pct"/>
          </w:tcPr>
          <w:p w:rsidR="004153B8" w:rsidRPr="00A920C1" w:rsidRDefault="004153B8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4153B8" w:rsidRPr="00017F04" w:rsidRDefault="004153B8" w:rsidP="00A132D4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4153B8" w:rsidRPr="00346234" w:rsidRDefault="004153B8" w:rsidP="000F10B9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4153B8" w:rsidRPr="001E79BA" w:rsidTr="007B5D31">
        <w:tc>
          <w:tcPr>
            <w:tcW w:w="515" w:type="pct"/>
          </w:tcPr>
          <w:p w:rsidR="004153B8" w:rsidRPr="00134CA3" w:rsidRDefault="004153B8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4153B8" w:rsidRPr="00017F04" w:rsidRDefault="004153B8" w:rsidP="00A132D4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4153B8" w:rsidRDefault="004153B8" w:rsidP="001D0C13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2-1-001, 2-1-002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4153B8">
              <w:rPr>
                <w:b/>
                <w:sz w:val="28"/>
                <w:szCs w:val="28"/>
              </w:rPr>
              <w:t>Κύκλος</w:t>
            </w:r>
            <w:r w:rsidR="004153B8" w:rsidRPr="00AA6EE5">
              <w:rPr>
                <w:b/>
                <w:sz w:val="28"/>
                <w:szCs w:val="28"/>
                <w:lang w:val="en-US"/>
              </w:rPr>
              <w:t xml:space="preserve"> </w:t>
            </w:r>
            <w:r w:rsidR="004153B8">
              <w:rPr>
                <w:b/>
                <w:sz w:val="28"/>
                <w:szCs w:val="28"/>
              </w:rPr>
              <w:t>δραστηριοτήτων</w:t>
            </w:r>
          </w:p>
        </w:tc>
      </w:tr>
      <w:tr w:rsidR="004153B8" w:rsidRPr="00A920C1" w:rsidTr="004153B8">
        <w:trPr>
          <w:trHeight w:val="284"/>
        </w:trPr>
        <w:tc>
          <w:tcPr>
            <w:tcW w:w="492" w:type="pct"/>
            <w:shd w:val="clear" w:color="auto" w:fill="D9D9D9"/>
          </w:tcPr>
          <w:p w:rsidR="004153B8" w:rsidRPr="003F28DE" w:rsidRDefault="004153B8" w:rsidP="00A132D4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4153B8" w:rsidRPr="003F28DE" w:rsidRDefault="004153B8" w:rsidP="00A132D4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4153B8" w:rsidRPr="003F28DE" w:rsidRDefault="004153B8" w:rsidP="00A132D4">
            <w:pPr>
              <w:tabs>
                <w:tab w:val="left" w:pos="2786"/>
                <w:tab w:val="center" w:pos="3096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ab/>
            </w:r>
            <w:r>
              <w:rPr>
                <w:b/>
                <w:szCs w:val="20"/>
              </w:rPr>
              <w:tab/>
              <w:t>Τιμή</w:t>
            </w:r>
          </w:p>
        </w:tc>
      </w:tr>
      <w:tr w:rsidR="004153B8" w:rsidRPr="00BF034B" w:rsidTr="004153B8">
        <w:trPr>
          <w:trHeight w:val="593"/>
        </w:trPr>
        <w:tc>
          <w:tcPr>
            <w:tcW w:w="492" w:type="pct"/>
          </w:tcPr>
          <w:p w:rsidR="004153B8" w:rsidRPr="002D7DA3" w:rsidRDefault="004153B8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4153B8" w:rsidRDefault="004153B8" w:rsidP="00A132D4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4153B8" w:rsidRPr="005766D1" w:rsidRDefault="004153B8" w:rsidP="00A132D4"/>
        </w:tc>
        <w:tc>
          <w:tcPr>
            <w:tcW w:w="3271" w:type="pct"/>
            <w:shd w:val="clear" w:color="auto" w:fill="auto"/>
          </w:tcPr>
          <w:p w:rsidR="004153B8" w:rsidRPr="001D0C13" w:rsidRDefault="004153B8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1D0C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BalticSTERN</w:t>
            </w:r>
            <w:r w:rsidRPr="001D0C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, </w:t>
            </w:r>
            <w:r w:rsidRPr="001D0C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Havs- och vattenmyndighetens</w:t>
            </w:r>
          </w:p>
        </w:tc>
      </w:tr>
      <w:tr w:rsidR="004153B8" w:rsidRPr="00BF034B" w:rsidTr="004153B8">
        <w:trPr>
          <w:trHeight w:val="593"/>
        </w:trPr>
        <w:tc>
          <w:tcPr>
            <w:tcW w:w="492" w:type="pct"/>
          </w:tcPr>
          <w:p w:rsidR="004153B8" w:rsidRPr="00A920C1" w:rsidRDefault="004153B8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4153B8" w:rsidRPr="003D7AA7" w:rsidRDefault="004153B8" w:rsidP="00A132D4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4153B8" w:rsidRPr="00346234" w:rsidRDefault="004153B8" w:rsidP="00346234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  <w:r w:rsidRPr="001D0C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BalticSTERN</w:t>
            </w:r>
            <w:r w:rsidRPr="001D0C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, </w:t>
            </w:r>
            <w:r w:rsidRPr="001D0C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Havs- och vattenmyndighetens</w:t>
            </w:r>
          </w:p>
        </w:tc>
      </w:tr>
      <w:tr w:rsidR="004153B8" w:rsidRPr="001E79BA" w:rsidTr="004153B8">
        <w:trPr>
          <w:trHeight w:val="146"/>
        </w:trPr>
        <w:tc>
          <w:tcPr>
            <w:tcW w:w="492" w:type="pct"/>
          </w:tcPr>
          <w:p w:rsidR="004153B8" w:rsidRPr="00A920C1" w:rsidRDefault="004153B8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4153B8" w:rsidRPr="003D7AA7" w:rsidRDefault="004153B8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4153B8" w:rsidRPr="00346234" w:rsidRDefault="004153B8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  <w:t>2013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4153B8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4153B8" w:rsidRPr="002A325C" w:rsidTr="007F394E">
        <w:tc>
          <w:tcPr>
            <w:tcW w:w="515" w:type="pct"/>
            <w:shd w:val="clear" w:color="auto" w:fill="D9D9D9"/>
          </w:tcPr>
          <w:p w:rsidR="004153B8" w:rsidRPr="00792DD2" w:rsidRDefault="004153B8" w:rsidP="00A132D4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4153B8" w:rsidRPr="00792DD2" w:rsidRDefault="004153B8" w:rsidP="00A132D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4153B8" w:rsidRPr="00792DD2" w:rsidRDefault="004153B8" w:rsidP="00A132D4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4153B8" w:rsidRPr="001E79BA" w:rsidTr="002D7DA3">
        <w:trPr>
          <w:trHeight w:val="593"/>
        </w:trPr>
        <w:tc>
          <w:tcPr>
            <w:tcW w:w="515" w:type="pct"/>
          </w:tcPr>
          <w:p w:rsidR="004153B8" w:rsidRPr="002D7DA3" w:rsidRDefault="004153B8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153B8" w:rsidRPr="002D7DA3" w:rsidRDefault="004153B8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>T</w:t>
            </w:r>
            <w:r>
              <w:rPr>
                <w:b/>
                <w:szCs w:val="24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4153B8" w:rsidRPr="004153B8" w:rsidRDefault="004153B8" w:rsidP="002D7DA3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4153B8" w:rsidRPr="001E79BA" w:rsidTr="002D7DA3">
        <w:trPr>
          <w:trHeight w:val="593"/>
        </w:trPr>
        <w:tc>
          <w:tcPr>
            <w:tcW w:w="515" w:type="pct"/>
          </w:tcPr>
          <w:p w:rsidR="004153B8" w:rsidRPr="00A920C1" w:rsidRDefault="004153B8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153B8" w:rsidRPr="003D7AA7" w:rsidRDefault="004153B8" w:rsidP="00A132D4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4153B8" w:rsidRPr="00D8590E" w:rsidRDefault="004153B8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 w:rsidR="004153B8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4153B8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4153B8" w:rsidRPr="00792DD2" w:rsidRDefault="004153B8" w:rsidP="00A132D4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4153B8" w:rsidRPr="00792DD2" w:rsidRDefault="004153B8" w:rsidP="00A132D4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4153B8" w:rsidRPr="00792DD2" w:rsidRDefault="004153B8" w:rsidP="00A132D4">
            <w:pPr>
              <w:tabs>
                <w:tab w:val="left" w:pos="2640"/>
                <w:tab w:val="center" w:pos="3132"/>
              </w:tabs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4153B8" w:rsidRPr="006A2255" w:rsidTr="003359B2">
        <w:tc>
          <w:tcPr>
            <w:tcW w:w="515" w:type="pct"/>
          </w:tcPr>
          <w:p w:rsidR="004153B8" w:rsidRPr="006A2255" w:rsidRDefault="004153B8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4153B8" w:rsidRPr="006A2255" w:rsidRDefault="004153B8" w:rsidP="00A132D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4153B8" w:rsidRPr="006A2255" w:rsidRDefault="004153B8" w:rsidP="00A132D4">
            <w:pPr>
              <w:spacing w:after="0" w:line="240" w:lineRule="auto"/>
              <w:ind w:left="57"/>
              <w:rPr>
                <w:b/>
              </w:rPr>
            </w:pPr>
          </w:p>
          <w:p w:rsidR="004153B8" w:rsidRPr="006A2255" w:rsidRDefault="004153B8" w:rsidP="00A132D4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4153B8" w:rsidRPr="00307FAB" w:rsidRDefault="00307FAB" w:rsidP="005171A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Επιπρόσθετο υλικό</w:t>
            </w:r>
          </w:p>
        </w:tc>
      </w:tr>
      <w:tr w:rsidR="00307FAB" w:rsidRPr="008368A9" w:rsidTr="003359B2">
        <w:tc>
          <w:tcPr>
            <w:tcW w:w="515" w:type="pct"/>
          </w:tcPr>
          <w:p w:rsidR="00307FAB" w:rsidRPr="006A2255" w:rsidRDefault="00307FAB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307FAB" w:rsidRPr="00262F1B" w:rsidRDefault="00307FAB" w:rsidP="00A132D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307FAB" w:rsidRPr="004772D2" w:rsidRDefault="00307FAB" w:rsidP="00A132D4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307FAB" w:rsidRPr="008368A9" w:rsidTr="003359B2">
        <w:tc>
          <w:tcPr>
            <w:tcW w:w="515" w:type="pct"/>
          </w:tcPr>
          <w:p w:rsidR="00307FAB" w:rsidRPr="006A2255" w:rsidRDefault="00307FAB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307FAB" w:rsidRPr="00262F1B" w:rsidRDefault="00307FAB" w:rsidP="00A132D4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307FAB" w:rsidRPr="004772D2" w:rsidRDefault="00307FAB" w:rsidP="00A132D4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307FAB" w:rsidRPr="00134CA3" w:rsidRDefault="00307FAB" w:rsidP="00A132D4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307FAB" w:rsidRPr="001E79BA" w:rsidTr="003359B2">
        <w:tc>
          <w:tcPr>
            <w:tcW w:w="515" w:type="pct"/>
          </w:tcPr>
          <w:p w:rsidR="00307FAB" w:rsidRPr="003359B2" w:rsidRDefault="00307FAB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307FAB" w:rsidRPr="003359B2" w:rsidRDefault="00307FAB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307FAB" w:rsidRPr="00BF4B8F" w:rsidRDefault="00307FAB" w:rsidP="00A132D4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4153B8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4153B8" w:rsidRPr="003359B2" w:rsidRDefault="004153B8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4153B8" w:rsidRPr="003359B2" w:rsidRDefault="004153B8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4153B8" w:rsidRPr="00134CA3" w:rsidRDefault="004153B8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3:00</w:t>
            </w:r>
          </w:p>
        </w:tc>
      </w:tr>
      <w:tr w:rsidR="004153B8" w:rsidRPr="00307FAB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4153B8" w:rsidRPr="003359B2" w:rsidRDefault="004153B8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4153B8" w:rsidRPr="00262F1B" w:rsidRDefault="004153B8" w:rsidP="00A132D4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4153B8" w:rsidRPr="00307FAB" w:rsidRDefault="00307FAB" w:rsidP="00307FAB">
            <w:pPr>
              <w:spacing w:after="0" w:line="240" w:lineRule="auto"/>
              <w:rPr>
                <w:color w:val="A6A6A6" w:themeColor="background1" w:themeShade="A6"/>
              </w:rPr>
            </w:pPr>
            <w:r>
              <w:rPr>
                <w:color w:val="808080" w:themeColor="background1" w:themeShade="80"/>
                <w:sz w:val="20"/>
              </w:rPr>
              <w:t>Εξοικείωση</w:t>
            </w:r>
            <w:r w:rsidRPr="00307FAB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με</w:t>
            </w:r>
            <w:r w:rsidRPr="00307FAB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τη</w:t>
            </w:r>
            <w:r w:rsidRPr="00307FAB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θαλάσσια</w:t>
            </w:r>
            <w:r w:rsidRPr="00307FAB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περιοχή</w:t>
            </w:r>
            <w:r w:rsidRPr="00307FAB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της</w:t>
            </w:r>
            <w:r w:rsidRPr="00307FAB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Βαλτικής και τις απειλές της</w:t>
            </w:r>
          </w:p>
        </w:tc>
      </w:tr>
    </w:tbl>
    <w:p w:rsidR="00F67486" w:rsidRPr="00307FAB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307FAB">
              <w:rPr>
                <w:b/>
                <w:sz w:val="28"/>
                <w:szCs w:val="28"/>
              </w:rPr>
              <w:br w:type="page"/>
            </w:r>
            <w:r w:rsidR="00307FAB">
              <w:rPr>
                <w:b/>
                <w:sz w:val="28"/>
                <w:szCs w:val="28"/>
              </w:rPr>
              <w:t>Δικαιώματα</w:t>
            </w:r>
          </w:p>
        </w:tc>
      </w:tr>
      <w:tr w:rsidR="00307FAB" w:rsidRPr="003359B2" w:rsidTr="00307FAB">
        <w:tc>
          <w:tcPr>
            <w:tcW w:w="515" w:type="pct"/>
            <w:shd w:val="clear" w:color="auto" w:fill="D9D9D9"/>
          </w:tcPr>
          <w:p w:rsidR="00307FAB" w:rsidRPr="00262F1B" w:rsidRDefault="00307FAB" w:rsidP="00A132D4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307FAB" w:rsidRPr="00262F1B" w:rsidRDefault="00307FAB" w:rsidP="00A132D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307FAB" w:rsidRPr="00262F1B" w:rsidRDefault="00307FAB" w:rsidP="00A132D4">
            <w:pPr>
              <w:tabs>
                <w:tab w:val="left" w:pos="2805"/>
                <w:tab w:val="center" w:pos="3132"/>
                <w:tab w:val="left" w:pos="3834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Τιμή</w:t>
            </w:r>
            <w:r>
              <w:rPr>
                <w:b/>
                <w:sz w:val="24"/>
              </w:rPr>
              <w:tab/>
            </w:r>
          </w:p>
        </w:tc>
      </w:tr>
      <w:tr w:rsidR="00307FAB" w:rsidRPr="00BF034B" w:rsidTr="00307FAB">
        <w:trPr>
          <w:trHeight w:val="490"/>
        </w:trPr>
        <w:tc>
          <w:tcPr>
            <w:tcW w:w="515" w:type="pct"/>
          </w:tcPr>
          <w:p w:rsidR="00307FAB" w:rsidRPr="00EF640E" w:rsidRDefault="00307FAB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307FAB" w:rsidRPr="003359B2" w:rsidRDefault="00307FAB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307FAB" w:rsidRPr="00346234" w:rsidRDefault="00307FAB" w:rsidP="00346234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307FAB" w:rsidRPr="001E79BA" w:rsidTr="00307FAB">
        <w:trPr>
          <w:trHeight w:val="491"/>
        </w:trPr>
        <w:tc>
          <w:tcPr>
            <w:tcW w:w="515" w:type="pct"/>
          </w:tcPr>
          <w:p w:rsidR="00307FAB" w:rsidRPr="00A920C1" w:rsidRDefault="00307FAB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307FAB" w:rsidRPr="003359B2" w:rsidRDefault="00307FAB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307FAB" w:rsidRPr="00134CA3" w:rsidRDefault="00307FAB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B7F" w:rsidRDefault="00784B7F">
      <w:pPr>
        <w:spacing w:after="0" w:line="240" w:lineRule="auto"/>
      </w:pPr>
      <w:r>
        <w:separator/>
      </w:r>
    </w:p>
  </w:endnote>
  <w:endnote w:type="continuationSeparator" w:id="1">
    <w:p w:rsidR="00784B7F" w:rsidRDefault="00784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nionPro-Regular">
    <w:panose1 w:val="00000000000000000000"/>
    <w:charset w:val="A1"/>
    <w:family w:val="roman"/>
    <w:notTrueType/>
    <w:pitch w:val="default"/>
    <w:sig w:usb0="00000081" w:usb1="00000000" w:usb2="00000000" w:usb3="00000000" w:csb0="00000008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860BA4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307FAB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B7F" w:rsidRDefault="00784B7F">
      <w:pPr>
        <w:spacing w:after="0" w:line="240" w:lineRule="auto"/>
      </w:pPr>
      <w:r>
        <w:separator/>
      </w:r>
    </w:p>
  </w:footnote>
  <w:footnote w:type="continuationSeparator" w:id="1">
    <w:p w:rsidR="00784B7F" w:rsidRDefault="00784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33F55"/>
    <w:multiLevelType w:val="hybridMultilevel"/>
    <w:tmpl w:val="AE94E1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15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  <w:num w:numId="18">
    <w:abstractNumId w:val="10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10FFA"/>
    <w:rsid w:val="00123C30"/>
    <w:rsid w:val="00132453"/>
    <w:rsid w:val="00134CA3"/>
    <w:rsid w:val="00162189"/>
    <w:rsid w:val="001A6336"/>
    <w:rsid w:val="001B56C0"/>
    <w:rsid w:val="001D0C13"/>
    <w:rsid w:val="001D1043"/>
    <w:rsid w:val="001E16CD"/>
    <w:rsid w:val="001E3EF9"/>
    <w:rsid w:val="001E79BA"/>
    <w:rsid w:val="001F1AC2"/>
    <w:rsid w:val="001F475E"/>
    <w:rsid w:val="001F746A"/>
    <w:rsid w:val="00200A8D"/>
    <w:rsid w:val="0023753B"/>
    <w:rsid w:val="00251138"/>
    <w:rsid w:val="00252CD1"/>
    <w:rsid w:val="00256469"/>
    <w:rsid w:val="002A325C"/>
    <w:rsid w:val="002A3B12"/>
    <w:rsid w:val="002C4D21"/>
    <w:rsid w:val="002C6433"/>
    <w:rsid w:val="002D0819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07FAB"/>
    <w:rsid w:val="003359B2"/>
    <w:rsid w:val="00346234"/>
    <w:rsid w:val="003A33E8"/>
    <w:rsid w:val="003B1BEB"/>
    <w:rsid w:val="003D7AA7"/>
    <w:rsid w:val="003E7F06"/>
    <w:rsid w:val="00404274"/>
    <w:rsid w:val="004046BD"/>
    <w:rsid w:val="00413999"/>
    <w:rsid w:val="004153B8"/>
    <w:rsid w:val="0043726D"/>
    <w:rsid w:val="00460131"/>
    <w:rsid w:val="004B052E"/>
    <w:rsid w:val="004D423C"/>
    <w:rsid w:val="005171AE"/>
    <w:rsid w:val="00524FD1"/>
    <w:rsid w:val="0053004A"/>
    <w:rsid w:val="0057602C"/>
    <w:rsid w:val="00597756"/>
    <w:rsid w:val="005A0AC8"/>
    <w:rsid w:val="005A6F18"/>
    <w:rsid w:val="005D422D"/>
    <w:rsid w:val="0062768E"/>
    <w:rsid w:val="006323EC"/>
    <w:rsid w:val="00655FDB"/>
    <w:rsid w:val="00672E84"/>
    <w:rsid w:val="00690675"/>
    <w:rsid w:val="00697A44"/>
    <w:rsid w:val="006A2255"/>
    <w:rsid w:val="006B6577"/>
    <w:rsid w:val="006C2C01"/>
    <w:rsid w:val="006E5511"/>
    <w:rsid w:val="00700C2C"/>
    <w:rsid w:val="00701E69"/>
    <w:rsid w:val="00735634"/>
    <w:rsid w:val="0074079B"/>
    <w:rsid w:val="00744A7C"/>
    <w:rsid w:val="00752CE2"/>
    <w:rsid w:val="00754402"/>
    <w:rsid w:val="00755AD6"/>
    <w:rsid w:val="00763E38"/>
    <w:rsid w:val="0077457E"/>
    <w:rsid w:val="00784B7F"/>
    <w:rsid w:val="007933BB"/>
    <w:rsid w:val="007943A9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60BA4"/>
    <w:rsid w:val="0087105D"/>
    <w:rsid w:val="00875F18"/>
    <w:rsid w:val="0088058A"/>
    <w:rsid w:val="00886EFA"/>
    <w:rsid w:val="008B207C"/>
    <w:rsid w:val="008D431D"/>
    <w:rsid w:val="008E17CA"/>
    <w:rsid w:val="008F0ECD"/>
    <w:rsid w:val="008F55DB"/>
    <w:rsid w:val="009123B3"/>
    <w:rsid w:val="0091428D"/>
    <w:rsid w:val="0094523D"/>
    <w:rsid w:val="009502B7"/>
    <w:rsid w:val="00955C34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34354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034B"/>
    <w:rsid w:val="00BF3B75"/>
    <w:rsid w:val="00BF69F9"/>
    <w:rsid w:val="00C020C4"/>
    <w:rsid w:val="00C0365F"/>
    <w:rsid w:val="00C4684A"/>
    <w:rsid w:val="00C47E32"/>
    <w:rsid w:val="00C52D0E"/>
    <w:rsid w:val="00C55667"/>
    <w:rsid w:val="00C922F0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C4BF1"/>
    <w:rsid w:val="00DD6950"/>
    <w:rsid w:val="00DE737B"/>
    <w:rsid w:val="00E02018"/>
    <w:rsid w:val="00E04D2A"/>
    <w:rsid w:val="00E65FA6"/>
    <w:rsid w:val="00E82EE9"/>
    <w:rsid w:val="00E87AA5"/>
    <w:rsid w:val="00EB3845"/>
    <w:rsid w:val="00EC1CD1"/>
    <w:rsid w:val="00EE3565"/>
    <w:rsid w:val="00EF640E"/>
    <w:rsid w:val="00F3108D"/>
    <w:rsid w:val="00F377AF"/>
    <w:rsid w:val="00F61A0F"/>
    <w:rsid w:val="00F67486"/>
    <w:rsid w:val="00F91611"/>
    <w:rsid w:val="00FB4B3F"/>
    <w:rsid w:val="00FB5C89"/>
    <w:rsid w:val="00FD1995"/>
    <w:rsid w:val="00FE1DB6"/>
    <w:rsid w:val="00FE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72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93EE-8528-4E0E-BFBF-99241847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2</cp:revision>
  <cp:lastPrinted>2012-01-10T12:02:00Z</cp:lastPrinted>
  <dcterms:created xsi:type="dcterms:W3CDTF">2016-12-04T16:54:00Z</dcterms:created>
  <dcterms:modified xsi:type="dcterms:W3CDTF">2016-12-04T16:54:00Z</dcterms:modified>
</cp:coreProperties>
</file>