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714"/>
      </w:tblGrid>
      <w:tr w:rsidR="004A61F2" w:rsidRPr="00A56C59" w:rsidTr="003B1BE2">
        <w:tc>
          <w:tcPr>
            <w:tcW w:w="2802" w:type="dxa"/>
            <w:shd w:val="clear" w:color="auto" w:fill="auto"/>
          </w:tcPr>
          <w:p w:rsidR="004A61F2" w:rsidRPr="000B53CC" w:rsidRDefault="00A56C59" w:rsidP="00A56C59">
            <w:pPr>
              <w:tabs>
                <w:tab w:val="center" w:pos="1293"/>
              </w:tabs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Τ</w:t>
            </w:r>
            <w:proofErr w:type="spellStart"/>
            <w:r>
              <w:rPr>
                <w:b/>
                <w:color w:val="244061"/>
                <w:lang w:val="el-GR"/>
              </w:rPr>
              <w:t>ίτλος</w:t>
            </w:r>
            <w:proofErr w:type="spellEnd"/>
            <w:r>
              <w:rPr>
                <w:b/>
                <w:color w:val="244061"/>
              </w:rPr>
              <w:tab/>
            </w:r>
          </w:p>
        </w:tc>
        <w:tc>
          <w:tcPr>
            <w:tcW w:w="5714" w:type="dxa"/>
            <w:shd w:val="clear" w:color="auto" w:fill="auto"/>
          </w:tcPr>
          <w:p w:rsidR="00E27D7C" w:rsidRPr="00A56C59" w:rsidRDefault="00A56C59" w:rsidP="00E10423">
            <w:pPr>
              <w:rPr>
                <w:b/>
                <w:lang w:val="el-GR"/>
              </w:rPr>
            </w:pPr>
            <w:r>
              <w:rPr>
                <w:color w:val="000000" w:themeColor="text1"/>
                <w:lang w:val="el-GR"/>
              </w:rPr>
              <w:t>Προβλήματα</w:t>
            </w:r>
            <w:r w:rsidRPr="00A56C59">
              <w:rPr>
                <w:color w:val="000000" w:themeColor="text1"/>
                <w:lang w:val="el-GR"/>
              </w:rPr>
              <w:t xml:space="preserve"> </w:t>
            </w:r>
            <w:r>
              <w:rPr>
                <w:color w:val="000000" w:themeColor="text1"/>
                <w:lang w:val="el-GR"/>
              </w:rPr>
              <w:t>και</w:t>
            </w:r>
            <w:r w:rsidRPr="00A56C59">
              <w:rPr>
                <w:color w:val="000000" w:themeColor="text1"/>
                <w:lang w:val="el-GR"/>
              </w:rPr>
              <w:t xml:space="preserve"> </w:t>
            </w:r>
            <w:r>
              <w:rPr>
                <w:color w:val="000000" w:themeColor="text1"/>
                <w:lang w:val="el-GR"/>
              </w:rPr>
              <w:t>τοξικές</w:t>
            </w:r>
            <w:r w:rsidRPr="00A56C59">
              <w:rPr>
                <w:color w:val="000000" w:themeColor="text1"/>
                <w:lang w:val="el-GR"/>
              </w:rPr>
              <w:t xml:space="preserve"> </w:t>
            </w:r>
            <w:r>
              <w:rPr>
                <w:color w:val="000000" w:themeColor="text1"/>
                <w:lang w:val="el-GR"/>
              </w:rPr>
              <w:t>ουσίες</w:t>
            </w:r>
            <w:r w:rsidRPr="00A56C59">
              <w:rPr>
                <w:color w:val="000000" w:themeColor="text1"/>
                <w:lang w:val="el-GR"/>
              </w:rPr>
              <w:t xml:space="preserve"> </w:t>
            </w:r>
            <w:r>
              <w:rPr>
                <w:color w:val="000000" w:themeColor="text1"/>
                <w:lang w:val="el-GR"/>
              </w:rPr>
              <w:t>στην</w:t>
            </w:r>
            <w:r w:rsidRPr="00A56C59">
              <w:rPr>
                <w:color w:val="000000" w:themeColor="text1"/>
                <w:lang w:val="el-GR"/>
              </w:rPr>
              <w:t xml:space="preserve"> </w:t>
            </w:r>
            <w:r>
              <w:rPr>
                <w:color w:val="000000" w:themeColor="text1"/>
                <w:lang w:val="el-GR"/>
              </w:rPr>
              <w:t>Βαλτική</w:t>
            </w:r>
            <w:r w:rsidRPr="00A56C59">
              <w:rPr>
                <w:color w:val="000000" w:themeColor="text1"/>
                <w:lang w:val="el-GR"/>
              </w:rPr>
              <w:t xml:space="preserve"> </w:t>
            </w:r>
            <w:r>
              <w:rPr>
                <w:color w:val="000000" w:themeColor="text1"/>
                <w:lang w:val="el-GR"/>
              </w:rPr>
              <w:t>και</w:t>
            </w:r>
            <w:r w:rsidRPr="00A56C59">
              <w:rPr>
                <w:color w:val="000000" w:themeColor="text1"/>
                <w:lang w:val="el-GR"/>
              </w:rPr>
              <w:t xml:space="preserve"> </w:t>
            </w:r>
            <w:r>
              <w:rPr>
                <w:color w:val="000000" w:themeColor="text1"/>
                <w:lang w:val="el-GR"/>
              </w:rPr>
              <w:t>Μεσόγειο</w:t>
            </w:r>
            <w:r w:rsidRPr="00A56C59">
              <w:rPr>
                <w:color w:val="000000" w:themeColor="text1"/>
                <w:lang w:val="el-GR"/>
              </w:rPr>
              <w:t xml:space="preserve"> </w:t>
            </w:r>
            <w:r>
              <w:rPr>
                <w:color w:val="000000" w:themeColor="text1"/>
                <w:lang w:val="el-GR"/>
              </w:rPr>
              <w:t>Θάλασσα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A56C59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  <w:lang w:val="el-GR"/>
              </w:rPr>
              <w:t>Διάρκεια</w:t>
            </w:r>
            <w:r w:rsidR="004A61F2">
              <w:rPr>
                <w:b/>
                <w:color w:val="244061"/>
              </w:rPr>
              <w:t xml:space="preserve"> (</w:t>
            </w:r>
            <w:r>
              <w:rPr>
                <w:b/>
                <w:color w:val="244061"/>
                <w:lang w:val="el-GR"/>
              </w:rPr>
              <w:t>σε εβδομάδες</w:t>
            </w:r>
            <w:r w:rsidR="004A61F2">
              <w:rPr>
                <w:b/>
                <w:color w:val="244061"/>
              </w:rPr>
              <w:t>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954D7E" w:rsidP="00E63C69">
            <w:r>
              <w:t>4</w:t>
            </w:r>
          </w:p>
        </w:tc>
      </w:tr>
      <w:tr w:rsidR="004A61F2" w:rsidRPr="00A56C59" w:rsidTr="003B1BE2">
        <w:tc>
          <w:tcPr>
            <w:tcW w:w="2802" w:type="dxa"/>
            <w:shd w:val="clear" w:color="auto" w:fill="auto"/>
          </w:tcPr>
          <w:p w:rsidR="004A61F2" w:rsidRPr="00A56C59" w:rsidRDefault="00A56C59" w:rsidP="00AC641D">
            <w:pPr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Εβδομάδα έναρξης/λήξης</w:t>
            </w:r>
          </w:p>
        </w:tc>
        <w:tc>
          <w:tcPr>
            <w:tcW w:w="5714" w:type="dxa"/>
            <w:shd w:val="clear" w:color="auto" w:fill="auto"/>
          </w:tcPr>
          <w:p w:rsidR="004A61F2" w:rsidRPr="00A56C59" w:rsidRDefault="004A61F2" w:rsidP="00E63C69">
            <w:pPr>
              <w:rPr>
                <w:lang w:val="el-GR"/>
              </w:rPr>
            </w:pPr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A56C59" w:rsidRDefault="00A56C59" w:rsidP="00AC641D">
            <w:pPr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 xml:space="preserve">Έννοιες </w:t>
            </w:r>
            <w:r w:rsidR="00AE747E">
              <w:rPr>
                <w:b/>
                <w:color w:val="244061"/>
                <w:lang w:val="el-GR"/>
              </w:rPr>
              <w:t xml:space="preserve">και θέματα </w:t>
            </w:r>
            <w:r>
              <w:rPr>
                <w:b/>
                <w:color w:val="244061"/>
                <w:lang w:val="el-GR"/>
              </w:rPr>
              <w:t>κλειδιά</w:t>
            </w:r>
          </w:p>
          <w:p w:rsidR="00AC641D" w:rsidRPr="00A56C59" w:rsidRDefault="00AC641D">
            <w:pPr>
              <w:rPr>
                <w:b/>
                <w:color w:val="244061"/>
                <w:lang w:val="el-GR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954D7E" w:rsidRDefault="00552699" w:rsidP="00E63C69">
            <w:r>
              <w:rPr>
                <w:lang w:val="el-GR"/>
              </w:rPr>
              <w:t>Ευτροφισμός</w:t>
            </w:r>
            <w:r w:rsidRPr="00552699">
              <w:t xml:space="preserve">, </w:t>
            </w:r>
            <w:r>
              <w:rPr>
                <w:lang w:val="el-GR"/>
              </w:rPr>
              <w:t>ρύπανση</w:t>
            </w:r>
            <w:r w:rsidRPr="00552699">
              <w:t xml:space="preserve">, </w:t>
            </w:r>
            <w:r>
              <w:rPr>
                <w:lang w:val="el-GR"/>
              </w:rPr>
              <w:t>συγκέντρωση</w:t>
            </w:r>
            <w:r w:rsidRPr="00552699">
              <w:t xml:space="preserve">, </w:t>
            </w:r>
            <w:r>
              <w:rPr>
                <w:lang w:val="el-GR"/>
              </w:rPr>
              <w:t>συσσώρευση</w:t>
            </w:r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AE747E" w:rsidRDefault="00AE747E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  <w:lang w:val="el-GR"/>
              </w:rPr>
              <w:t>Επιδιωκόμενος Σκοπός</w:t>
            </w:r>
          </w:p>
        </w:tc>
        <w:tc>
          <w:tcPr>
            <w:tcW w:w="5714" w:type="dxa"/>
            <w:shd w:val="clear" w:color="auto" w:fill="auto"/>
          </w:tcPr>
          <w:p w:rsidR="00954D7E" w:rsidRPr="00552699" w:rsidRDefault="00552699" w:rsidP="00954D7E">
            <w:pPr>
              <w:pStyle w:val="a5"/>
              <w:numPr>
                <w:ilvl w:val="0"/>
                <w:numId w:val="15"/>
              </w:numPr>
              <w:spacing w:line="240" w:lineRule="auto"/>
              <w:jc w:val="left"/>
              <w:rPr>
                <w:rFonts w:asciiTheme="minorHAnsi" w:hAnsiTheme="minorHAnsi" w:cstheme="minorHAnsi"/>
                <w:b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Κατανόηση</w:t>
            </w:r>
            <w:r w:rsidRPr="00552699">
              <w:rPr>
                <w:rFonts w:asciiTheme="minorHAnsi" w:hAnsiTheme="minorHAnsi" w:cstheme="minorHAnsi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lang w:val="el-GR"/>
              </w:rPr>
              <w:t>των</w:t>
            </w:r>
            <w:r w:rsidRPr="00552699">
              <w:rPr>
                <w:rFonts w:asciiTheme="minorHAnsi" w:hAnsiTheme="minorHAnsi" w:cstheme="minorHAnsi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lang w:val="el-GR"/>
              </w:rPr>
              <w:t>κύριων</w:t>
            </w:r>
            <w:r w:rsidRPr="00552699">
              <w:rPr>
                <w:rFonts w:asciiTheme="minorHAnsi" w:hAnsiTheme="minorHAnsi" w:cstheme="minorHAnsi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lang w:val="el-GR"/>
              </w:rPr>
              <w:t>πηγών</w:t>
            </w:r>
            <w:r w:rsidRPr="00552699">
              <w:rPr>
                <w:rFonts w:asciiTheme="minorHAnsi" w:hAnsiTheme="minorHAnsi" w:cstheme="minorHAnsi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lang w:val="el-GR"/>
              </w:rPr>
              <w:t>τοξικών</w:t>
            </w:r>
            <w:r w:rsidRPr="00552699">
              <w:rPr>
                <w:rFonts w:asciiTheme="minorHAnsi" w:hAnsiTheme="minorHAnsi" w:cstheme="minorHAnsi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lang w:val="el-GR"/>
              </w:rPr>
              <w:t>ουσιών</w:t>
            </w:r>
            <w:r w:rsidR="00954D7E" w:rsidRPr="00552699">
              <w:rPr>
                <w:rFonts w:asciiTheme="minorHAnsi" w:hAnsiTheme="minorHAnsi" w:cstheme="minorHAnsi"/>
                <w:lang w:val="el-GR"/>
              </w:rPr>
              <w:t xml:space="preserve"> </w:t>
            </w:r>
          </w:p>
          <w:p w:rsidR="00954D7E" w:rsidRPr="00954D7E" w:rsidRDefault="00552699" w:rsidP="00954D7E">
            <w:pPr>
              <w:pStyle w:val="a5"/>
              <w:numPr>
                <w:ilvl w:val="0"/>
                <w:numId w:val="15"/>
              </w:numPr>
              <w:spacing w:line="240" w:lineRule="auto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lang w:val="el-GR"/>
              </w:rPr>
              <w:t>Γνώση</w:t>
            </w:r>
            <w:r w:rsidRPr="00552699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lang w:val="el-GR"/>
              </w:rPr>
              <w:t>των</w:t>
            </w:r>
            <w:r w:rsidRPr="00552699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lang w:val="el-GR"/>
              </w:rPr>
              <w:t>διαφόρων</w:t>
            </w:r>
            <w:r w:rsidRPr="00552699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lang w:val="el-GR"/>
              </w:rPr>
              <w:t>προβλημάτων</w:t>
            </w:r>
          </w:p>
          <w:p w:rsidR="00954D7E" w:rsidRPr="00954D7E" w:rsidRDefault="00552699" w:rsidP="00954D7E">
            <w:pPr>
              <w:pStyle w:val="a5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lang w:val="el-GR"/>
              </w:rPr>
              <w:t>Πρόταση</w:t>
            </w:r>
            <w:r w:rsidRPr="00552699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lang w:val="el-GR"/>
              </w:rPr>
              <w:t>λύσεων</w:t>
            </w:r>
            <w:r w:rsidRPr="00552699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lang w:val="el-GR"/>
              </w:rPr>
              <w:t>για τα</w:t>
            </w:r>
            <w:r w:rsidRPr="00552699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lang w:val="el-GR"/>
              </w:rPr>
              <w:t>προβλήματα</w:t>
            </w:r>
          </w:p>
          <w:p w:rsidR="003B1BE2" w:rsidRPr="003B1BE2" w:rsidRDefault="003B1BE2" w:rsidP="001C487B">
            <w:pPr>
              <w:spacing w:line="240" w:lineRule="auto"/>
            </w:pP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A56C59" w:rsidRDefault="00A56C59" w:rsidP="004A61F2">
            <w:pPr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Μαθησιακά Αποτελέσματα</w:t>
            </w:r>
          </w:p>
        </w:tc>
        <w:tc>
          <w:tcPr>
            <w:tcW w:w="5714" w:type="dxa"/>
            <w:shd w:val="clear" w:color="auto" w:fill="auto"/>
          </w:tcPr>
          <w:p w:rsidR="00954D7E" w:rsidRPr="00552699" w:rsidRDefault="00552699" w:rsidP="00954D7E">
            <w:pPr>
              <w:pStyle w:val="a5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 w:cstheme="minorHAnsi"/>
                <w:b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Μπορεί να γίνει έρευνα για τις τοξικές ουσίες από δείγματα</w:t>
            </w:r>
          </w:p>
          <w:p w:rsidR="00954D7E" w:rsidRPr="00552699" w:rsidRDefault="00552699" w:rsidP="00954D7E">
            <w:pPr>
              <w:pStyle w:val="a5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 w:cstheme="minorHAnsi"/>
                <w:b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Πώς</w:t>
            </w:r>
            <w:r w:rsidRPr="00552699">
              <w:rPr>
                <w:rFonts w:asciiTheme="minorHAnsi" w:hAnsiTheme="minorHAnsi" w:cstheme="minorHAnsi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lang w:val="el-GR"/>
              </w:rPr>
              <w:t>οι</w:t>
            </w:r>
            <w:r w:rsidRPr="00552699">
              <w:rPr>
                <w:rFonts w:asciiTheme="minorHAnsi" w:hAnsiTheme="minorHAnsi" w:cstheme="minorHAnsi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lang w:val="el-GR"/>
              </w:rPr>
              <w:t>τοξικές</w:t>
            </w:r>
            <w:r w:rsidRPr="00552699">
              <w:rPr>
                <w:rFonts w:asciiTheme="minorHAnsi" w:hAnsiTheme="minorHAnsi" w:cstheme="minorHAnsi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lang w:val="el-GR"/>
              </w:rPr>
              <w:t>ουσίες</w:t>
            </w:r>
            <w:r w:rsidRPr="00552699">
              <w:rPr>
                <w:rFonts w:asciiTheme="minorHAnsi" w:hAnsiTheme="minorHAnsi" w:cstheme="minorHAnsi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lang w:val="el-GR"/>
              </w:rPr>
              <w:t>και</w:t>
            </w:r>
            <w:r w:rsidRPr="00552699">
              <w:rPr>
                <w:rFonts w:asciiTheme="minorHAnsi" w:hAnsiTheme="minorHAnsi" w:cstheme="minorHAnsi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lang w:val="el-GR"/>
              </w:rPr>
              <w:t>άλλα</w:t>
            </w:r>
            <w:r w:rsidRPr="00552699">
              <w:rPr>
                <w:rFonts w:asciiTheme="minorHAnsi" w:hAnsiTheme="minorHAnsi" w:cstheme="minorHAnsi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lang w:val="el-GR"/>
              </w:rPr>
              <w:t>επιβλαβή</w:t>
            </w:r>
            <w:r w:rsidRPr="00552699">
              <w:rPr>
                <w:rFonts w:asciiTheme="minorHAnsi" w:hAnsiTheme="minorHAnsi" w:cstheme="minorHAnsi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lang w:val="el-GR"/>
              </w:rPr>
              <w:t>συστατικά θα επηρεάσουν τη φύση</w:t>
            </w:r>
          </w:p>
          <w:p w:rsidR="00954D7E" w:rsidRPr="00954D7E" w:rsidRDefault="00552699" w:rsidP="00954D7E">
            <w:pPr>
              <w:pStyle w:val="a5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lang w:val="el-GR"/>
              </w:rPr>
              <w:t>Μείωση των τοξικών ουσιών</w:t>
            </w:r>
          </w:p>
          <w:p w:rsidR="00743EC5" w:rsidRPr="003B1BE2" w:rsidRDefault="00743EC5" w:rsidP="00954D7E">
            <w:pPr>
              <w:spacing w:line="240" w:lineRule="auto"/>
            </w:pPr>
          </w:p>
        </w:tc>
      </w:tr>
      <w:tr w:rsidR="008A1B92" w:rsidRPr="003B1BE2" w:rsidTr="003B1BE2">
        <w:tc>
          <w:tcPr>
            <w:tcW w:w="2802" w:type="dxa"/>
            <w:shd w:val="clear" w:color="auto" w:fill="auto"/>
          </w:tcPr>
          <w:p w:rsidR="008A1B92" w:rsidRPr="00A56C59" w:rsidRDefault="00A56C59" w:rsidP="008A1B92">
            <w:pPr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Βασικά Μαθησιακά Υλικά</w:t>
            </w:r>
          </w:p>
        </w:tc>
        <w:tc>
          <w:tcPr>
            <w:tcW w:w="5714" w:type="dxa"/>
            <w:shd w:val="clear" w:color="auto" w:fill="auto"/>
          </w:tcPr>
          <w:p w:rsidR="008A1B92" w:rsidRPr="008A1B92" w:rsidRDefault="00552699" w:rsidP="001C487B">
            <w:pPr>
              <w:spacing w:line="240" w:lineRule="auto"/>
              <w:rPr>
                <w:b/>
              </w:rPr>
            </w:pPr>
            <w:r>
              <w:rPr>
                <w:lang w:val="el-GR"/>
              </w:rPr>
              <w:t xml:space="preserve">Παρουσίαση </w:t>
            </w:r>
            <w:r w:rsidR="00C9539E">
              <w:t xml:space="preserve">Power Point 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A56C59" w:rsidRDefault="00A56C59" w:rsidP="008A1B92">
            <w:pPr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Συμπληρωματικά Μαθησιακά Υλικά</w:t>
            </w:r>
          </w:p>
        </w:tc>
        <w:tc>
          <w:tcPr>
            <w:tcW w:w="5714" w:type="dxa"/>
            <w:shd w:val="clear" w:color="auto" w:fill="auto"/>
          </w:tcPr>
          <w:p w:rsidR="00743EC5" w:rsidRPr="003B1BE2" w:rsidRDefault="00743EC5" w:rsidP="00743EC5">
            <w:pPr>
              <w:pStyle w:val="Web"/>
              <w:spacing w:before="0" w:beforeAutospacing="0" w:after="0" w:afterAutospacing="0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A56C59" w:rsidRDefault="00A56C59" w:rsidP="00C108E5">
            <w:pPr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Εκπαιδευτικά βίντεο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8A1B92" w:rsidP="001C487B">
            <w:pPr>
              <w:pStyle w:val="Web"/>
              <w:spacing w:before="0" w:beforeAutospacing="0" w:after="0" w:afterAutospacing="0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AE747E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  <w:lang w:val="el-GR"/>
              </w:rPr>
              <w:t>Υλικό Ανάγνωσης</w:t>
            </w:r>
            <w:r w:rsidR="008A1B92" w:rsidRPr="000B53CC">
              <w:rPr>
                <w:b/>
                <w:color w:val="244061"/>
              </w:rPr>
              <w:t xml:space="preserve"> </w:t>
            </w:r>
          </w:p>
        </w:tc>
        <w:tc>
          <w:tcPr>
            <w:tcW w:w="5714" w:type="dxa"/>
            <w:shd w:val="clear" w:color="auto" w:fill="auto"/>
          </w:tcPr>
          <w:p w:rsidR="008A1B92" w:rsidRDefault="00954D7E" w:rsidP="00954D7E">
            <w:pPr>
              <w:pStyle w:val="Web"/>
              <w:spacing w:before="0" w:beforeAutospacing="0" w:after="0" w:afterAutospacing="0"/>
              <w:jc w:val="both"/>
              <w:rPr>
                <w:rFonts w:ascii="Calibri" w:hAnsi="Calibri" w:cs="Arial"/>
                <w:iCs/>
                <w:sz w:val="24"/>
                <w:szCs w:val="24"/>
                <w:lang w:bidi="en-US"/>
              </w:rPr>
            </w:pPr>
            <w:proofErr w:type="spellStart"/>
            <w:r w:rsidRPr="00954D7E">
              <w:rPr>
                <w:rFonts w:ascii="Calibri" w:hAnsi="Calibri" w:cs="Arial"/>
                <w:iCs/>
                <w:sz w:val="24"/>
                <w:szCs w:val="24"/>
                <w:lang w:bidi="en-US"/>
              </w:rPr>
              <w:t>Miniero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bidi="en-US"/>
              </w:rPr>
              <w:t xml:space="preserve">, R., et al. </w:t>
            </w:r>
            <w:r w:rsidRPr="00954D7E">
              <w:rPr>
                <w:rFonts w:ascii="Calibri" w:hAnsi="Calibri" w:cs="Arial"/>
                <w:iCs/>
                <w:sz w:val="24"/>
                <w:szCs w:val="24"/>
                <w:lang w:bidi="en-US"/>
              </w:rPr>
              <w:t xml:space="preserve">, </w:t>
            </w:r>
            <w:r>
              <w:rPr>
                <w:rFonts w:ascii="Calibri" w:hAnsi="Calibri" w:cs="Arial"/>
                <w:iCs/>
                <w:sz w:val="24"/>
                <w:szCs w:val="24"/>
                <w:lang w:bidi="en-US"/>
              </w:rPr>
              <w:t xml:space="preserve">(2014). </w:t>
            </w:r>
            <w:r w:rsidRPr="00954D7E">
              <w:rPr>
                <w:rFonts w:ascii="Calibri" w:hAnsi="Calibri" w:cs="Arial"/>
                <w:iCs/>
                <w:sz w:val="24"/>
                <w:szCs w:val="24"/>
                <w:lang w:bidi="en-US"/>
              </w:rPr>
              <w:t>Persistent toxic substances in Mediterranean aquatic species</w:t>
            </w:r>
            <w:r>
              <w:rPr>
                <w:rFonts w:ascii="Calibri" w:hAnsi="Calibri" w:cs="Arial"/>
                <w:iCs/>
                <w:sz w:val="24"/>
                <w:szCs w:val="24"/>
                <w:lang w:bidi="en-US"/>
              </w:rPr>
              <w:t xml:space="preserve">. </w:t>
            </w:r>
            <w:r w:rsidRPr="00954D7E">
              <w:rPr>
                <w:rFonts w:ascii="Calibri" w:hAnsi="Calibri" w:cs="Arial"/>
                <w:iCs/>
                <w:sz w:val="24"/>
                <w:szCs w:val="24"/>
                <w:lang w:bidi="en-US"/>
              </w:rPr>
              <w:t>Science of the Total Environment</w:t>
            </w:r>
            <w:r>
              <w:rPr>
                <w:rFonts w:ascii="Calibri" w:hAnsi="Calibri" w:cs="Arial"/>
                <w:iCs/>
                <w:sz w:val="24"/>
                <w:szCs w:val="24"/>
                <w:lang w:bidi="en-US"/>
              </w:rPr>
              <w:t xml:space="preserve">. </w:t>
            </w:r>
            <w:r w:rsidRPr="00954D7E">
              <w:rPr>
                <w:rFonts w:ascii="Calibri" w:hAnsi="Calibri" w:cs="Arial"/>
                <w:iCs/>
                <w:sz w:val="24"/>
                <w:szCs w:val="24"/>
                <w:lang w:bidi="en-US"/>
              </w:rPr>
              <w:t>494–495 (2014) 18–27</w:t>
            </w:r>
            <w:r>
              <w:rPr>
                <w:rFonts w:ascii="Calibri" w:hAnsi="Calibri" w:cs="Arial"/>
                <w:iCs/>
                <w:sz w:val="24"/>
                <w:szCs w:val="24"/>
                <w:lang w:bidi="en-US"/>
              </w:rPr>
              <w:t xml:space="preserve">. </w:t>
            </w:r>
          </w:p>
          <w:p w:rsidR="00954D7E" w:rsidRDefault="00954D7E" w:rsidP="00954D7E">
            <w:pPr>
              <w:pStyle w:val="Web"/>
              <w:spacing w:before="0" w:beforeAutospacing="0" w:after="0" w:afterAutospacing="0"/>
              <w:jc w:val="both"/>
              <w:rPr>
                <w:rFonts w:ascii="Calibri" w:hAnsi="Calibri" w:cs="Arial"/>
                <w:iCs/>
                <w:sz w:val="24"/>
                <w:szCs w:val="24"/>
                <w:lang w:bidi="en-US"/>
              </w:rPr>
            </w:pPr>
          </w:p>
          <w:p w:rsidR="00954D7E" w:rsidRDefault="00954D7E" w:rsidP="00954D7E">
            <w:pPr>
              <w:pStyle w:val="Web"/>
              <w:spacing w:before="0" w:beforeAutospacing="0" w:after="0" w:afterAutospacing="0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Cebrian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, D., (2008). </w:t>
            </w:r>
            <w:r w:rsidRPr="00954D7E">
              <w:rPr>
                <w:rFonts w:ascii="Calibri" w:hAnsi="Calibri" w:cs="Arial"/>
                <w:iCs/>
                <w:sz w:val="24"/>
                <w:szCs w:val="24"/>
              </w:rPr>
              <w:t>Impacts of Climate Change on the Biodiversity of the Mediterranean Sea.</w:t>
            </w:r>
            <w:r w:rsidR="006073A7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 w:rsidR="006073A7" w:rsidRPr="006073A7">
              <w:rPr>
                <w:rFonts w:ascii="Calibri" w:hAnsi="Calibri" w:cs="Arial"/>
                <w:iCs/>
                <w:sz w:val="24"/>
                <w:szCs w:val="24"/>
              </w:rPr>
              <w:t>Changing climate, changing biodiversity in South-East Europe</w:t>
            </w:r>
            <w:r w:rsidR="006073A7">
              <w:rPr>
                <w:rFonts w:ascii="Calibri" w:hAnsi="Calibri" w:cs="Arial"/>
                <w:iCs/>
                <w:sz w:val="24"/>
                <w:szCs w:val="24"/>
              </w:rPr>
              <w:t>, 18-19 Ju</w:t>
            </w:r>
            <w:r w:rsidR="006073A7" w:rsidRPr="006073A7">
              <w:rPr>
                <w:rFonts w:ascii="Calibri" w:hAnsi="Calibri" w:cs="Arial"/>
                <w:iCs/>
                <w:sz w:val="24"/>
                <w:szCs w:val="24"/>
              </w:rPr>
              <w:t>n</w:t>
            </w:r>
            <w:r w:rsidR="006073A7">
              <w:rPr>
                <w:rFonts w:ascii="Calibri" w:hAnsi="Calibri" w:cs="Arial"/>
                <w:iCs/>
                <w:sz w:val="24"/>
                <w:szCs w:val="24"/>
              </w:rPr>
              <w:t>e</w:t>
            </w:r>
            <w:r w:rsidR="006073A7" w:rsidRPr="006073A7">
              <w:rPr>
                <w:rFonts w:ascii="Calibri" w:hAnsi="Calibri" w:cs="Arial"/>
                <w:iCs/>
                <w:sz w:val="24"/>
                <w:szCs w:val="24"/>
              </w:rPr>
              <w:t xml:space="preserve"> 2008, Belgrade, Serbia</w:t>
            </w:r>
            <w:r w:rsidR="006073A7">
              <w:rPr>
                <w:rFonts w:ascii="Calibri" w:hAnsi="Calibri" w:cs="Arial"/>
                <w:iCs/>
                <w:sz w:val="24"/>
                <w:szCs w:val="24"/>
              </w:rPr>
              <w:t>.</w:t>
            </w:r>
          </w:p>
          <w:p w:rsidR="006073A7" w:rsidRDefault="006073A7" w:rsidP="00954D7E">
            <w:pPr>
              <w:pStyle w:val="Web"/>
              <w:spacing w:before="0" w:beforeAutospacing="0" w:after="0" w:afterAutospacing="0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  <w:p w:rsidR="006073A7" w:rsidRDefault="006073A7" w:rsidP="00954D7E">
            <w:pPr>
              <w:pStyle w:val="Web"/>
              <w:spacing w:before="0" w:beforeAutospacing="0" w:after="0" w:afterAutospacing="0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6073A7">
              <w:rPr>
                <w:rFonts w:ascii="Calibri" w:hAnsi="Calibri" w:cs="Arial"/>
                <w:iCs/>
                <w:sz w:val="24"/>
                <w:szCs w:val="24"/>
              </w:rPr>
              <w:t>UNEP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(2002). </w:t>
            </w:r>
            <w:r w:rsidRPr="006073A7">
              <w:rPr>
                <w:rFonts w:ascii="Calibri" w:hAnsi="Calibri" w:cs="Arial"/>
                <w:iCs/>
                <w:sz w:val="24"/>
                <w:szCs w:val="24"/>
              </w:rPr>
              <w:t>Regionally based Assessment of Persistent Toxic Substances. Mediterranean Regional Report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. </w:t>
            </w:r>
          </w:p>
          <w:p w:rsidR="00FE1748" w:rsidRDefault="00FE1748" w:rsidP="00954D7E">
            <w:pPr>
              <w:pStyle w:val="Web"/>
              <w:spacing w:before="0" w:beforeAutospacing="0" w:after="0" w:afterAutospacing="0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  <w:p w:rsidR="00FE1748" w:rsidRDefault="00FE1748" w:rsidP="00954D7E">
            <w:pPr>
              <w:pStyle w:val="Web"/>
              <w:spacing w:before="0" w:beforeAutospacing="0" w:after="0" w:afterAutospacing="0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EEA (2006). </w:t>
            </w:r>
            <w:r w:rsidRPr="00FE1748">
              <w:rPr>
                <w:rFonts w:ascii="Calibri" w:hAnsi="Calibri" w:cs="Arial"/>
                <w:iCs/>
                <w:sz w:val="24"/>
                <w:szCs w:val="24"/>
              </w:rPr>
              <w:t>Priority issues in the Mediterranean environment. EEA Report No 4/2006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>.</w:t>
            </w:r>
          </w:p>
          <w:p w:rsidR="00FE1748" w:rsidRDefault="00FE1748" w:rsidP="00954D7E">
            <w:pPr>
              <w:pStyle w:val="Web"/>
              <w:spacing w:before="0" w:beforeAutospacing="0" w:after="0" w:afterAutospacing="0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  <w:p w:rsidR="00FE1748" w:rsidRDefault="00FE1748" w:rsidP="00FE1748">
            <w:pPr>
              <w:pStyle w:val="Web"/>
              <w:spacing w:before="0" w:beforeAutospacing="0" w:after="0" w:afterAutospacing="0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Danovaro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, R., (2003). </w:t>
            </w:r>
            <w:r w:rsidRPr="00FE1748">
              <w:rPr>
                <w:rFonts w:ascii="Calibri" w:hAnsi="Calibri" w:cs="Arial"/>
                <w:iCs/>
                <w:sz w:val="24"/>
                <w:szCs w:val="24"/>
              </w:rPr>
              <w:t xml:space="preserve">Pollution threats in the </w:t>
            </w:r>
            <w:r w:rsidRPr="00FE1748">
              <w:rPr>
                <w:rFonts w:ascii="Calibri" w:hAnsi="Calibri" w:cs="Arial"/>
                <w:iCs/>
                <w:sz w:val="24"/>
                <w:szCs w:val="24"/>
              </w:rPr>
              <w:lastRenderedPageBreak/>
              <w:t>Mediterranean Sea An overview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. </w:t>
            </w:r>
            <w:r w:rsidRPr="00FE1748">
              <w:rPr>
                <w:rFonts w:ascii="Calibri" w:hAnsi="Calibri" w:cs="Arial"/>
                <w:i/>
                <w:iCs/>
                <w:sz w:val="24"/>
                <w:szCs w:val="24"/>
              </w:rPr>
              <w:t>Chemistry and Ecology</w:t>
            </w:r>
            <w:r w:rsidRPr="00FE1748">
              <w:rPr>
                <w:rFonts w:ascii="Calibri" w:hAnsi="Calibri" w:cs="Arial"/>
                <w:iCs/>
                <w:sz w:val="24"/>
                <w:szCs w:val="24"/>
              </w:rPr>
              <w:t>, 19(1)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>:</w:t>
            </w:r>
            <w:r w:rsidRPr="00FE1748">
              <w:rPr>
                <w:rFonts w:ascii="Calibri" w:hAnsi="Calibri" w:cs="Arial"/>
                <w:iCs/>
                <w:sz w:val="24"/>
                <w:szCs w:val="24"/>
              </w:rPr>
              <w:t>15–32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>.</w:t>
            </w:r>
          </w:p>
          <w:p w:rsidR="00FE1748" w:rsidRDefault="00FE1748" w:rsidP="00FE1748">
            <w:pPr>
              <w:pStyle w:val="Web"/>
              <w:spacing w:before="0" w:beforeAutospacing="0" w:after="0" w:afterAutospacing="0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  <w:p w:rsidR="00FE1748" w:rsidRDefault="00FE1748" w:rsidP="00FE1748">
            <w:pPr>
              <w:pStyle w:val="Web"/>
              <w:spacing w:before="0" w:beforeAutospacing="0" w:after="0" w:afterAutospacing="0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WWF. </w:t>
            </w:r>
            <w:r w:rsidRPr="00FE1748">
              <w:rPr>
                <w:rFonts w:ascii="Calibri" w:hAnsi="Calibri" w:cs="Arial"/>
                <w:iCs/>
                <w:sz w:val="24"/>
                <w:szCs w:val="24"/>
              </w:rPr>
              <w:t>Tourism threats in the Mediterranean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>. Background Information.</w:t>
            </w:r>
          </w:p>
          <w:p w:rsidR="00FE1748" w:rsidRDefault="00FE1748" w:rsidP="00FE1748">
            <w:pPr>
              <w:pStyle w:val="Web"/>
              <w:spacing w:before="0" w:beforeAutospacing="0" w:after="0" w:afterAutospacing="0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Konstantinou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I. K.</w:t>
            </w:r>
            <w:r w:rsidRPr="00FE1748">
              <w:rPr>
                <w:rFonts w:ascii="Calibri" w:hAnsi="Calibri" w:cs="Arial"/>
                <w:iCs/>
                <w:sz w:val="24"/>
                <w:szCs w:val="24"/>
              </w:rPr>
              <w:t>, Hela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, </w:t>
            </w:r>
            <w:r w:rsidRPr="00FE1748">
              <w:rPr>
                <w:rFonts w:ascii="Calibri" w:hAnsi="Calibri" w:cs="Arial"/>
                <w:iCs/>
                <w:sz w:val="24"/>
                <w:szCs w:val="24"/>
              </w:rPr>
              <w:t>G.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H.</w:t>
            </w:r>
            <w:r w:rsidRPr="00FE1748">
              <w:rPr>
                <w:rFonts w:ascii="Calibri" w:hAnsi="Calibri" w:cs="Arial"/>
                <w:iCs/>
                <w:sz w:val="24"/>
                <w:szCs w:val="24"/>
              </w:rPr>
              <w:t xml:space="preserve">, </w:t>
            </w:r>
            <w:proofErr w:type="spellStart"/>
            <w:r w:rsidRPr="00FE1748">
              <w:rPr>
                <w:rFonts w:ascii="Calibri" w:hAnsi="Calibri" w:cs="Arial"/>
                <w:iCs/>
                <w:sz w:val="24"/>
                <w:szCs w:val="24"/>
              </w:rPr>
              <w:t>Albanis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, </w:t>
            </w:r>
            <w:r w:rsidRPr="00FE1748">
              <w:rPr>
                <w:rFonts w:ascii="Calibri" w:hAnsi="Calibri" w:cs="Arial"/>
                <w:iCs/>
                <w:sz w:val="24"/>
                <w:szCs w:val="24"/>
              </w:rPr>
              <w:t>A.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T., (2005). </w:t>
            </w:r>
            <w:r w:rsidRPr="00FE1748">
              <w:rPr>
                <w:rFonts w:ascii="Calibri" w:hAnsi="Calibri" w:cs="Arial"/>
                <w:iCs/>
                <w:sz w:val="24"/>
                <w:szCs w:val="24"/>
              </w:rPr>
              <w:t>The status of pesticide pollution in surface waters rivers and lakes of Greece. Part I. Review on occurrence and levels.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 w:rsidRPr="00FE1748">
              <w:rPr>
                <w:rFonts w:ascii="Calibri" w:hAnsi="Calibri" w:cs="Arial"/>
                <w:iCs/>
                <w:sz w:val="24"/>
                <w:szCs w:val="24"/>
              </w:rPr>
              <w:t>Environmental Pollution 141 (2006)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>:</w:t>
            </w:r>
            <w:r w:rsidRPr="00FE1748">
              <w:rPr>
                <w:rFonts w:ascii="Calibri" w:hAnsi="Calibri" w:cs="Arial"/>
                <w:iCs/>
                <w:sz w:val="24"/>
                <w:szCs w:val="24"/>
              </w:rPr>
              <w:t xml:space="preserve"> 555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>-</w:t>
            </w:r>
            <w:r w:rsidRPr="00FE1748">
              <w:rPr>
                <w:rFonts w:ascii="Calibri" w:hAnsi="Calibri" w:cs="Arial"/>
                <w:iCs/>
                <w:sz w:val="24"/>
                <w:szCs w:val="24"/>
              </w:rPr>
              <w:t>570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>.</w:t>
            </w:r>
          </w:p>
          <w:p w:rsidR="00FE1748" w:rsidRDefault="00FE1748" w:rsidP="00FE1748">
            <w:pPr>
              <w:pStyle w:val="Web"/>
              <w:spacing w:before="0" w:beforeAutospacing="0" w:after="0" w:afterAutospacing="0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  <w:p w:rsidR="00FE1748" w:rsidRPr="00FE1748" w:rsidRDefault="00FE1748" w:rsidP="00092B2A">
            <w:pPr>
              <w:pStyle w:val="Web"/>
              <w:spacing w:before="0" w:beforeAutospacing="0" w:after="0" w:afterAutospacing="0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 w:rsidRPr="00FE1748">
              <w:rPr>
                <w:rFonts w:ascii="Calibri" w:hAnsi="Calibri" w:cs="Arial"/>
                <w:iCs/>
                <w:sz w:val="24"/>
                <w:szCs w:val="24"/>
              </w:rPr>
              <w:t>Falandysz</w:t>
            </w:r>
            <w:proofErr w:type="spellEnd"/>
            <w:r w:rsidRPr="00FE1748">
              <w:rPr>
                <w:rFonts w:ascii="Calibri" w:hAnsi="Calibri" w:cs="Arial"/>
                <w:iCs/>
                <w:sz w:val="24"/>
                <w:szCs w:val="24"/>
              </w:rPr>
              <w:t>,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 w:rsidRPr="00FE1748">
              <w:rPr>
                <w:rFonts w:ascii="Calibri" w:hAnsi="Calibri" w:cs="Arial"/>
                <w:iCs/>
                <w:sz w:val="24"/>
                <w:szCs w:val="24"/>
              </w:rPr>
              <w:t>J.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>,</w:t>
            </w:r>
            <w:r w:rsidRPr="00FE1748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FE1748">
              <w:rPr>
                <w:rFonts w:ascii="Calibri" w:hAnsi="Calibri" w:cs="Arial"/>
                <w:iCs/>
                <w:sz w:val="24"/>
                <w:szCs w:val="24"/>
              </w:rPr>
              <w:t>Albanis</w:t>
            </w:r>
            <w:proofErr w:type="spellEnd"/>
            <w:r w:rsidRPr="00FE1748">
              <w:rPr>
                <w:rFonts w:ascii="Calibri" w:hAnsi="Calibri" w:cs="Arial"/>
                <w:iCs/>
                <w:sz w:val="24"/>
                <w:szCs w:val="24"/>
              </w:rPr>
              <w:t>,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 w:rsidRPr="00FE1748">
              <w:rPr>
                <w:rFonts w:ascii="Calibri" w:hAnsi="Calibri" w:cs="Arial"/>
                <w:iCs/>
                <w:sz w:val="24"/>
                <w:szCs w:val="24"/>
              </w:rPr>
              <w:t>T.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>,</w:t>
            </w:r>
            <w:r w:rsidRPr="00FE1748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 w:rsidR="00092B2A">
              <w:rPr>
                <w:rFonts w:ascii="Calibri" w:hAnsi="Calibri" w:cs="Arial"/>
                <w:iCs/>
                <w:sz w:val="24"/>
                <w:szCs w:val="24"/>
              </w:rPr>
              <w:t xml:space="preserve">et al. (2006). </w:t>
            </w:r>
            <w:r w:rsidR="00092B2A" w:rsidRPr="00092B2A">
              <w:rPr>
                <w:rFonts w:asciiTheme="minorHAnsi" w:eastAsia="Times New Roman" w:hAnsiTheme="minorHAnsi" w:cstheme="minorHAnsi"/>
                <w:sz w:val="22"/>
              </w:rPr>
              <w:t>Some Chemical Contaminant of Surface Sediments at the Baltic Sea Coastal Region with Special Emphasis on Androgenic and Anti-Androgenic Compounds</w:t>
            </w:r>
            <w:r w:rsidR="00092B2A">
              <w:rPr>
                <w:rFonts w:asciiTheme="minorHAnsi" w:eastAsia="Times New Roman" w:hAnsiTheme="minorHAnsi" w:cstheme="minorHAnsi"/>
                <w:sz w:val="22"/>
              </w:rPr>
              <w:t xml:space="preserve">. </w:t>
            </w:r>
            <w:r w:rsidR="00092B2A" w:rsidRPr="00092B2A">
              <w:rPr>
                <w:rFonts w:asciiTheme="minorHAnsi" w:eastAsia="Times New Roman" w:hAnsiTheme="minorHAnsi" w:cstheme="minorHAnsi"/>
                <w:sz w:val="22"/>
              </w:rPr>
              <w:t>Journal of Environmental Science and Health Part A, 41:2127–2162</w:t>
            </w:r>
            <w:r w:rsidR="00092B2A">
              <w:rPr>
                <w:rFonts w:asciiTheme="minorHAnsi" w:eastAsia="Times New Roman" w:hAnsiTheme="minorHAnsi" w:cstheme="minorHAnsi"/>
                <w:sz w:val="22"/>
              </w:rPr>
              <w:t>.</w:t>
            </w:r>
          </w:p>
        </w:tc>
      </w:tr>
      <w:tr w:rsidR="003B1BE2" w:rsidRPr="00552699" w:rsidTr="003B1BE2">
        <w:tc>
          <w:tcPr>
            <w:tcW w:w="2802" w:type="dxa"/>
            <w:shd w:val="clear" w:color="auto" w:fill="auto"/>
          </w:tcPr>
          <w:p w:rsidR="003B1BE2" w:rsidRPr="00A56C59" w:rsidRDefault="00A56C59" w:rsidP="00AC641D">
            <w:pPr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lastRenderedPageBreak/>
              <w:t>Δραστηριότητες</w:t>
            </w:r>
          </w:p>
        </w:tc>
        <w:tc>
          <w:tcPr>
            <w:tcW w:w="5714" w:type="dxa"/>
            <w:shd w:val="clear" w:color="auto" w:fill="auto"/>
          </w:tcPr>
          <w:p w:rsidR="00743EC5" w:rsidRPr="00552699" w:rsidRDefault="00552699" w:rsidP="00895436">
            <w:pPr>
              <w:spacing w:line="240" w:lineRule="auto"/>
              <w:rPr>
                <w:b/>
                <w:lang w:val="el-GR"/>
              </w:rPr>
            </w:pPr>
            <w:r w:rsidRPr="00552699">
              <w:rPr>
                <w:b/>
                <w:lang w:val="el-GR"/>
              </w:rPr>
              <w:t>Αν</w:t>
            </w:r>
            <w:r>
              <w:rPr>
                <w:b/>
                <w:lang w:val="el-GR"/>
              </w:rPr>
              <w:t>άθεση</w:t>
            </w:r>
            <w:r w:rsidR="00743EC5" w:rsidRPr="00552699">
              <w:rPr>
                <w:b/>
                <w:lang w:val="el-GR"/>
              </w:rPr>
              <w:t xml:space="preserve"> – 1 </w:t>
            </w:r>
          </w:p>
          <w:p w:rsidR="00552699" w:rsidRPr="00552699" w:rsidRDefault="00552699" w:rsidP="00552699">
            <w:pPr>
              <w:pStyle w:val="Web"/>
              <w:rPr>
                <w:rFonts w:asciiTheme="minorHAnsi" w:hAnsiTheme="minorHAnsi"/>
                <w:sz w:val="24"/>
                <w:szCs w:val="24"/>
                <w:lang w:val="el-GR"/>
              </w:rPr>
            </w:pPr>
            <w:r w:rsidRPr="00552699">
              <w:rPr>
                <w:rFonts w:asciiTheme="minorHAnsi" w:hAnsiTheme="minorHAnsi"/>
                <w:sz w:val="24"/>
                <w:szCs w:val="24"/>
                <w:lang w:val="el-GR"/>
              </w:rPr>
              <w:t>Διαβάστε τις παρακάτω δημοσιεύσεις</w:t>
            </w:r>
            <w:r>
              <w:rPr>
                <w:rFonts w:asciiTheme="minorHAnsi" w:hAnsiTheme="minorHAnsi"/>
                <w:sz w:val="24"/>
                <w:szCs w:val="24"/>
                <w:lang w:val="el-GR"/>
              </w:rPr>
              <w:t>:</w:t>
            </w:r>
          </w:p>
          <w:p w:rsidR="00552699" w:rsidRPr="00552699" w:rsidRDefault="00552699" w:rsidP="00552699">
            <w:pPr>
              <w:pStyle w:val="Web"/>
              <w:rPr>
                <w:rFonts w:asciiTheme="minorHAnsi" w:hAnsiTheme="minorHAnsi"/>
                <w:sz w:val="24"/>
                <w:szCs w:val="24"/>
                <w:lang w:val="el-GR"/>
              </w:rPr>
            </w:pPr>
            <w:r w:rsidRPr="00552699">
              <w:rPr>
                <w:rFonts w:asciiTheme="minorHAnsi" w:hAnsiTheme="minorHAnsi"/>
                <w:sz w:val="24"/>
                <w:szCs w:val="24"/>
                <w:lang w:val="el-GR"/>
              </w:rPr>
              <w:t>«Η κατάσταση της ρύπανσης λόγω των φυτοφαρμάκων στα επιφανειακά ύδατα των ποταμών και των λιμνών της Ελλάδας. Μέρος Ι. Ανασκόπηση των περιστατικών και των επιπέδων της ρύπανσης» [2-2-008]</w:t>
            </w:r>
          </w:p>
          <w:p w:rsidR="00552699" w:rsidRDefault="00552699" w:rsidP="00552699">
            <w:pPr>
              <w:pStyle w:val="Web"/>
              <w:jc w:val="center"/>
              <w:rPr>
                <w:rFonts w:asciiTheme="minorHAnsi" w:hAnsiTheme="minorHAnsi"/>
                <w:sz w:val="24"/>
                <w:szCs w:val="24"/>
                <w:lang w:val="el-GR"/>
              </w:rPr>
            </w:pPr>
            <w:r w:rsidRPr="00552699">
              <w:rPr>
                <w:rFonts w:asciiTheme="minorHAnsi" w:hAnsiTheme="minorHAnsi"/>
                <w:sz w:val="24"/>
                <w:szCs w:val="24"/>
                <w:lang w:val="el-GR"/>
              </w:rPr>
              <w:t>&amp;</w:t>
            </w:r>
          </w:p>
          <w:p w:rsidR="00552699" w:rsidRPr="00552699" w:rsidRDefault="00552699" w:rsidP="00552699">
            <w:pPr>
              <w:pStyle w:val="Web"/>
              <w:rPr>
                <w:rFonts w:asciiTheme="minorHAnsi" w:hAnsiTheme="minorHAnsi"/>
                <w:sz w:val="24"/>
                <w:szCs w:val="24"/>
                <w:lang w:val="el-GR"/>
              </w:rPr>
            </w:pPr>
            <w:r w:rsidRPr="00552699">
              <w:rPr>
                <w:rFonts w:asciiTheme="minorHAnsi" w:hAnsiTheme="minorHAnsi"/>
                <w:sz w:val="24"/>
                <w:szCs w:val="24"/>
                <w:lang w:val="el-GR"/>
              </w:rPr>
              <w:t xml:space="preserve">«Μερικές χημικές μολυσματικές ενώσεις των επιφανειακών ιζημάτων στην παράκτια περιοχή της Βαλτικής Θάλασσας με ιδιαίτερη έμφαση σε αυτές με ανδρογονική και </w:t>
            </w:r>
            <w:proofErr w:type="spellStart"/>
            <w:r w:rsidRPr="00552699">
              <w:rPr>
                <w:rFonts w:asciiTheme="minorHAnsi" w:hAnsiTheme="minorHAnsi"/>
                <w:sz w:val="24"/>
                <w:szCs w:val="24"/>
                <w:lang w:val="el-GR"/>
              </w:rPr>
              <w:t>αντι</w:t>
            </w:r>
            <w:proofErr w:type="spellEnd"/>
            <w:r w:rsidRPr="00552699">
              <w:rPr>
                <w:rFonts w:asciiTheme="minorHAnsi" w:hAnsiTheme="minorHAnsi"/>
                <w:sz w:val="24"/>
                <w:szCs w:val="24"/>
                <w:lang w:val="el-GR"/>
              </w:rPr>
              <w:t>-ανδρογονική δράση»[2-2-010]</w:t>
            </w:r>
          </w:p>
          <w:p w:rsidR="00552699" w:rsidRPr="00552699" w:rsidRDefault="00552699" w:rsidP="00552699">
            <w:pPr>
              <w:pStyle w:val="Web"/>
              <w:rPr>
                <w:rFonts w:asciiTheme="minorHAnsi" w:hAnsiTheme="minorHAnsi"/>
                <w:sz w:val="24"/>
                <w:szCs w:val="24"/>
                <w:lang w:val="el-GR"/>
              </w:rPr>
            </w:pPr>
            <w:r w:rsidRPr="00552699">
              <w:rPr>
                <w:rFonts w:asciiTheme="minorHAnsi" w:hAnsiTheme="minorHAnsi"/>
                <w:sz w:val="24"/>
                <w:szCs w:val="24"/>
                <w:lang w:val="el-GR"/>
              </w:rPr>
              <w:t>Με βάση τα ανωτέρω άρθρα και μετά από μια γρήγορη έρευνα, να γράψτε ένα δοκίμιο για το κάτωθι θέμα:</w:t>
            </w:r>
          </w:p>
          <w:p w:rsidR="00E10423" w:rsidRPr="00552699" w:rsidRDefault="00552699" w:rsidP="00552699">
            <w:pPr>
              <w:pStyle w:val="Web"/>
              <w:rPr>
                <w:rFonts w:asciiTheme="minorHAnsi" w:hAnsiTheme="minorHAnsi"/>
                <w:sz w:val="24"/>
                <w:szCs w:val="24"/>
                <w:lang w:val="el-GR"/>
              </w:rPr>
            </w:pPr>
            <w:r w:rsidRPr="00552699">
              <w:rPr>
                <w:rFonts w:asciiTheme="minorHAnsi" w:hAnsiTheme="minorHAnsi"/>
                <w:sz w:val="24"/>
                <w:szCs w:val="24"/>
                <w:lang w:val="el-GR"/>
              </w:rPr>
              <w:t xml:space="preserve">«Η ρύπανση των επιφανειακών υδάτων, ο ρόλος των φυτοφαρμάκων και λύσεις. Συγκριτική ανάλυση μεταξύ των παράκτιων περιοχών </w:t>
            </w:r>
            <w:r>
              <w:rPr>
                <w:rFonts w:asciiTheme="minorHAnsi" w:hAnsiTheme="minorHAnsi"/>
                <w:sz w:val="24"/>
                <w:szCs w:val="24"/>
                <w:lang w:val="el-GR"/>
              </w:rPr>
              <w:t>της Βαλτικής και της Μεσογείου»</w:t>
            </w:r>
          </w:p>
        </w:tc>
      </w:tr>
      <w:tr w:rsidR="00064A21" w:rsidRPr="003B1BE2" w:rsidTr="003B1BE2">
        <w:tc>
          <w:tcPr>
            <w:tcW w:w="2802" w:type="dxa"/>
            <w:shd w:val="clear" w:color="auto" w:fill="auto"/>
          </w:tcPr>
          <w:p w:rsidR="00064A21" w:rsidRPr="00AE747E" w:rsidRDefault="00AE747E" w:rsidP="00AC641D">
            <w:pPr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Λίστα ελέγχου</w:t>
            </w:r>
          </w:p>
        </w:tc>
        <w:tc>
          <w:tcPr>
            <w:tcW w:w="5714" w:type="dxa"/>
            <w:shd w:val="clear" w:color="auto" w:fill="auto"/>
          </w:tcPr>
          <w:p w:rsidR="00AE75E0" w:rsidRDefault="00AE75E0" w:rsidP="006D62CC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  <w:p w:rsidR="00C9539E" w:rsidRPr="00AE75E0" w:rsidRDefault="00C9539E" w:rsidP="006D62CC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A56C59" w:rsidRDefault="00A56C59" w:rsidP="00C108E5">
            <w:pPr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Αξιολόγηση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CB6F40" w:rsidP="00E27D7C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Assignment grading </w:t>
            </w:r>
          </w:p>
        </w:tc>
      </w:tr>
    </w:tbl>
    <w:p w:rsidR="00AC641D" w:rsidRDefault="00AC641D"/>
    <w:p w:rsidR="006D62CC" w:rsidRDefault="006D62CC"/>
    <w:p w:rsidR="00102854" w:rsidRPr="00552699" w:rsidRDefault="00AE747E">
      <w:pPr>
        <w:rPr>
          <w:lang w:val="el-GR"/>
        </w:rPr>
      </w:pPr>
      <w:r>
        <w:rPr>
          <w:lang w:val="el-GR"/>
        </w:rPr>
        <w:lastRenderedPageBreak/>
        <w:t>Από</w:t>
      </w:r>
      <w:r w:rsidRPr="00552699">
        <w:rPr>
          <w:lang w:val="el-GR"/>
        </w:rPr>
        <w:t xml:space="preserve"> </w:t>
      </w:r>
      <w:r>
        <w:rPr>
          <w:lang w:val="el-GR"/>
        </w:rPr>
        <w:t>την</w:t>
      </w:r>
      <w:r w:rsidRPr="00552699">
        <w:rPr>
          <w:lang w:val="el-GR"/>
        </w:rPr>
        <w:t xml:space="preserve"> </w:t>
      </w:r>
      <w:r>
        <w:rPr>
          <w:lang w:val="el-GR"/>
        </w:rPr>
        <w:t>στιγμή</w:t>
      </w:r>
      <w:r w:rsidRPr="00552699">
        <w:rPr>
          <w:lang w:val="el-GR"/>
        </w:rPr>
        <w:t xml:space="preserve"> </w:t>
      </w:r>
      <w:r>
        <w:rPr>
          <w:lang w:val="el-GR"/>
        </w:rPr>
        <w:t>που</w:t>
      </w:r>
      <w:r w:rsidRPr="00552699">
        <w:rPr>
          <w:lang w:val="el-GR"/>
        </w:rPr>
        <w:t xml:space="preserve"> </w:t>
      </w:r>
      <w:r>
        <w:rPr>
          <w:lang w:val="el-GR"/>
        </w:rPr>
        <w:t>υπάρχουν</w:t>
      </w:r>
      <w:r w:rsidRPr="00552699">
        <w:rPr>
          <w:lang w:val="el-GR"/>
        </w:rPr>
        <w:t xml:space="preserve"> </w:t>
      </w:r>
      <w:r>
        <w:rPr>
          <w:lang w:val="el-GR"/>
        </w:rPr>
        <w:t>διαφορετικοί</w:t>
      </w:r>
      <w:r w:rsidRPr="00552699">
        <w:rPr>
          <w:lang w:val="el-GR"/>
        </w:rPr>
        <w:t xml:space="preserve"> </w:t>
      </w:r>
      <w:r>
        <w:rPr>
          <w:lang w:val="el-GR"/>
        </w:rPr>
        <w:t>τρόποι</w:t>
      </w:r>
      <w:r w:rsidRPr="00552699">
        <w:rPr>
          <w:lang w:val="el-GR"/>
        </w:rPr>
        <w:t xml:space="preserve"> </w:t>
      </w:r>
      <w:r>
        <w:rPr>
          <w:lang w:val="el-GR"/>
        </w:rPr>
        <w:t>περιγραφής</w:t>
      </w:r>
      <w:r w:rsidRPr="00552699">
        <w:rPr>
          <w:lang w:val="el-GR"/>
        </w:rPr>
        <w:t xml:space="preserve"> </w:t>
      </w:r>
      <w:r>
        <w:rPr>
          <w:lang w:val="el-GR"/>
        </w:rPr>
        <w:t>της</w:t>
      </w:r>
      <w:r w:rsidRPr="00552699">
        <w:rPr>
          <w:lang w:val="el-GR"/>
        </w:rPr>
        <w:t xml:space="preserve"> </w:t>
      </w:r>
      <w:r>
        <w:rPr>
          <w:lang w:val="el-GR"/>
        </w:rPr>
        <w:t>δομής</w:t>
      </w:r>
      <w:r w:rsidRPr="00552699">
        <w:rPr>
          <w:lang w:val="el-GR"/>
        </w:rPr>
        <w:t xml:space="preserve"> </w:t>
      </w:r>
      <w:r>
        <w:rPr>
          <w:lang w:val="el-GR"/>
        </w:rPr>
        <w:t>του</w:t>
      </w:r>
      <w:r w:rsidRPr="00552699">
        <w:rPr>
          <w:lang w:val="el-GR"/>
        </w:rPr>
        <w:t xml:space="preserve"> </w:t>
      </w:r>
      <w:r>
        <w:rPr>
          <w:lang w:val="el-GR"/>
        </w:rPr>
        <w:t>μαθήματος</w:t>
      </w:r>
      <w:r w:rsidRPr="00552699">
        <w:rPr>
          <w:lang w:val="el-GR"/>
        </w:rPr>
        <w:t xml:space="preserve"> </w:t>
      </w:r>
      <w:r>
        <w:rPr>
          <w:lang w:val="el-GR"/>
        </w:rPr>
        <w:t>πριν</w:t>
      </w:r>
      <w:r w:rsidRPr="00552699">
        <w:rPr>
          <w:lang w:val="el-GR"/>
        </w:rPr>
        <w:t xml:space="preserve"> </w:t>
      </w:r>
      <w:r>
        <w:rPr>
          <w:lang w:val="el-GR"/>
        </w:rPr>
        <w:t>αναρτήσετε</w:t>
      </w:r>
      <w:r w:rsidRPr="00552699">
        <w:rPr>
          <w:lang w:val="el-GR"/>
        </w:rPr>
        <w:t xml:space="preserve"> </w:t>
      </w:r>
      <w:r>
        <w:rPr>
          <w:lang w:val="el-GR"/>
        </w:rPr>
        <w:t>το</w:t>
      </w:r>
      <w:r w:rsidRPr="00552699">
        <w:rPr>
          <w:lang w:val="el-GR"/>
        </w:rPr>
        <w:t xml:space="preserve"> </w:t>
      </w:r>
      <w:r>
        <w:rPr>
          <w:lang w:val="el-GR"/>
        </w:rPr>
        <w:t>έγγραφο</w:t>
      </w:r>
      <w:r w:rsidRPr="00552699">
        <w:rPr>
          <w:lang w:val="el-GR"/>
        </w:rPr>
        <w:t xml:space="preserve"> </w:t>
      </w:r>
      <w:r>
        <w:rPr>
          <w:lang w:val="el-GR"/>
        </w:rPr>
        <w:t>σας</w:t>
      </w:r>
      <w:r w:rsidRPr="00552699">
        <w:rPr>
          <w:lang w:val="el-GR"/>
        </w:rPr>
        <w:t xml:space="preserve"> </w:t>
      </w:r>
      <w:r>
        <w:rPr>
          <w:lang w:val="el-GR"/>
        </w:rPr>
        <w:t>στην</w:t>
      </w:r>
      <w:r w:rsidRPr="00552699">
        <w:rPr>
          <w:lang w:val="el-GR"/>
        </w:rPr>
        <w:t xml:space="preserve"> </w:t>
      </w:r>
      <w:r>
        <w:rPr>
          <w:lang w:val="el-GR"/>
        </w:rPr>
        <w:t>διαδικτυακή</w:t>
      </w:r>
      <w:r w:rsidRPr="00552699">
        <w:rPr>
          <w:lang w:val="el-GR"/>
        </w:rPr>
        <w:t xml:space="preserve"> </w:t>
      </w:r>
      <w:r>
        <w:rPr>
          <w:lang w:val="el-GR"/>
        </w:rPr>
        <w:t>τάξη</w:t>
      </w:r>
      <w:r w:rsidRPr="00552699">
        <w:rPr>
          <w:lang w:val="el-GR"/>
        </w:rPr>
        <w:t xml:space="preserve">, </w:t>
      </w:r>
      <w:r>
        <w:rPr>
          <w:lang w:val="el-GR"/>
        </w:rPr>
        <w:t>το</w:t>
      </w:r>
      <w:r w:rsidRPr="00552699">
        <w:rPr>
          <w:lang w:val="el-GR"/>
        </w:rPr>
        <w:t xml:space="preserve"> </w:t>
      </w:r>
      <w:r>
        <w:rPr>
          <w:lang w:val="el-GR"/>
        </w:rPr>
        <w:t>ακόλουθο</w:t>
      </w:r>
      <w:r w:rsidRPr="00552699">
        <w:rPr>
          <w:lang w:val="el-GR"/>
        </w:rPr>
        <w:t xml:space="preserve"> </w:t>
      </w:r>
      <w:r>
        <w:rPr>
          <w:lang w:val="el-GR"/>
        </w:rPr>
        <w:t>διάγραμμα</w:t>
      </w:r>
      <w:r w:rsidRPr="00552699">
        <w:rPr>
          <w:lang w:val="el-GR"/>
        </w:rPr>
        <w:t xml:space="preserve"> </w:t>
      </w:r>
      <w:r w:rsidR="00552699">
        <w:rPr>
          <w:lang w:val="el-GR"/>
        </w:rPr>
        <w:t>είναι ένα πρό</w:t>
      </w:r>
      <w:r>
        <w:rPr>
          <w:lang w:val="el-GR"/>
        </w:rPr>
        <w:t>τυπο</w:t>
      </w:r>
      <w:r w:rsidR="00552699" w:rsidRPr="00552699">
        <w:rPr>
          <w:lang w:val="el-GR"/>
        </w:rPr>
        <w:t xml:space="preserve"> </w:t>
      </w:r>
      <w:r w:rsidR="00552699">
        <w:rPr>
          <w:lang w:val="el-GR"/>
        </w:rPr>
        <w:t>που</w:t>
      </w:r>
      <w:r w:rsidRPr="00552699">
        <w:rPr>
          <w:lang w:val="el-GR"/>
        </w:rPr>
        <w:t xml:space="preserve"> </w:t>
      </w:r>
      <w:r>
        <w:rPr>
          <w:lang w:val="el-GR"/>
        </w:rPr>
        <w:t>μπορεί</w:t>
      </w:r>
      <w:r w:rsidRPr="00552699">
        <w:rPr>
          <w:lang w:val="el-GR"/>
        </w:rPr>
        <w:t xml:space="preserve"> </w:t>
      </w:r>
      <w:r>
        <w:rPr>
          <w:lang w:val="el-GR"/>
        </w:rPr>
        <w:t>εύκολα</w:t>
      </w:r>
      <w:r w:rsidRPr="00552699">
        <w:rPr>
          <w:lang w:val="el-GR"/>
        </w:rPr>
        <w:t xml:space="preserve"> </w:t>
      </w:r>
      <w:r>
        <w:rPr>
          <w:lang w:val="el-GR"/>
        </w:rPr>
        <w:t>να</w:t>
      </w:r>
      <w:r w:rsidRPr="00552699">
        <w:rPr>
          <w:lang w:val="el-GR"/>
        </w:rPr>
        <w:t xml:space="preserve"> </w:t>
      </w:r>
      <w:r>
        <w:rPr>
          <w:lang w:val="el-GR"/>
        </w:rPr>
        <w:t>προσαρμοστεί</w:t>
      </w:r>
      <w:r w:rsidR="00487A42" w:rsidRPr="00552699">
        <w:rPr>
          <w:lang w:val="el-GR"/>
        </w:rPr>
        <w:t>:</w:t>
      </w:r>
    </w:p>
    <w:p w:rsidR="00A56C59" w:rsidRPr="00552699" w:rsidRDefault="00A56C59">
      <w:pPr>
        <w:rPr>
          <w:lang w:val="el-GR"/>
        </w:rPr>
      </w:pPr>
    </w:p>
    <w:p w:rsidR="00A56C59" w:rsidRPr="00552699" w:rsidRDefault="00A56C59">
      <w:pPr>
        <w:rPr>
          <w:lang w:val="el-GR"/>
        </w:rPr>
      </w:pPr>
    </w:p>
    <w:p w:rsidR="00A56C59" w:rsidRPr="00552699" w:rsidRDefault="00A56C59">
      <w:pPr>
        <w:rPr>
          <w:lang w:val="el-GR"/>
        </w:rPr>
      </w:pPr>
      <w:bookmarkStart w:id="0" w:name="_GoBack"/>
      <w:r>
        <w:rPr>
          <w:noProof/>
          <w:lang w:val="el-GR" w:eastAsia="el-GR" w:bidi="ar-S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5266055" cy="4131945"/>
            <wp:effectExtent l="19050" t="0" r="0" b="0"/>
            <wp:wrapNone/>
            <wp:docPr id="2" name="Εικόνα 2" descr="Στιγμιότυπο 2015-09-14,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Στιγμιότυπο 2015-09-14,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413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p w:rsidR="00A56C59" w:rsidRPr="00552699" w:rsidRDefault="00A56C59">
      <w:pPr>
        <w:rPr>
          <w:lang w:val="el-GR"/>
        </w:rPr>
      </w:pPr>
    </w:p>
    <w:p w:rsidR="00A56C59" w:rsidRPr="00552699" w:rsidRDefault="00A56C59">
      <w:pPr>
        <w:rPr>
          <w:lang w:val="el-GR"/>
        </w:rPr>
      </w:pPr>
    </w:p>
    <w:p w:rsidR="00A56C59" w:rsidRPr="00552699" w:rsidRDefault="00A56C59">
      <w:pPr>
        <w:rPr>
          <w:lang w:val="el-GR"/>
        </w:rPr>
      </w:pPr>
    </w:p>
    <w:p w:rsidR="00487A42" w:rsidRPr="00552699" w:rsidRDefault="00487A42">
      <w:pPr>
        <w:rPr>
          <w:lang w:val="el-GR"/>
        </w:rPr>
      </w:pPr>
    </w:p>
    <w:p w:rsidR="00102854" w:rsidRPr="00552699" w:rsidRDefault="00102854">
      <w:pPr>
        <w:rPr>
          <w:lang w:val="el-GR"/>
        </w:rPr>
      </w:pPr>
    </w:p>
    <w:sectPr w:rsidR="00102854" w:rsidRPr="00552699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65765"/>
    <w:multiLevelType w:val="hybridMultilevel"/>
    <w:tmpl w:val="AE94E1E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93CC5"/>
    <w:multiLevelType w:val="hybridMultilevel"/>
    <w:tmpl w:val="3DA086E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6326A"/>
    <w:multiLevelType w:val="hybridMultilevel"/>
    <w:tmpl w:val="EF96CD7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12677E"/>
    <w:multiLevelType w:val="hybridMultilevel"/>
    <w:tmpl w:val="14905126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C07B2"/>
    <w:multiLevelType w:val="hybridMultilevel"/>
    <w:tmpl w:val="D368DF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F8149E"/>
    <w:multiLevelType w:val="hybridMultilevel"/>
    <w:tmpl w:val="6FFC796A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A0A6A"/>
    <w:multiLevelType w:val="hybridMultilevel"/>
    <w:tmpl w:val="F1A88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EC7442"/>
    <w:multiLevelType w:val="hybridMultilevel"/>
    <w:tmpl w:val="F1A88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31197D"/>
    <w:multiLevelType w:val="hybridMultilevel"/>
    <w:tmpl w:val="FF5286E4"/>
    <w:lvl w:ilvl="0" w:tplc="C10A4BEC">
      <w:start w:val="12"/>
      <w:numFmt w:val="bullet"/>
      <w:lvlText w:val="-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946268B"/>
    <w:multiLevelType w:val="hybridMultilevel"/>
    <w:tmpl w:val="A142E6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943E44"/>
    <w:multiLevelType w:val="hybridMultilevel"/>
    <w:tmpl w:val="B0564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0AEA18">
      <w:numFmt w:val="bullet"/>
      <w:lvlText w:val="-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33F55"/>
    <w:multiLevelType w:val="hybridMultilevel"/>
    <w:tmpl w:val="AE94E1E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2"/>
  </w:num>
  <w:num w:numId="5">
    <w:abstractNumId w:val="9"/>
  </w:num>
  <w:num w:numId="6">
    <w:abstractNumId w:val="1"/>
  </w:num>
  <w:num w:numId="7">
    <w:abstractNumId w:val="3"/>
  </w:num>
  <w:num w:numId="8">
    <w:abstractNumId w:val="10"/>
  </w:num>
  <w:num w:numId="9">
    <w:abstractNumId w:val="7"/>
  </w:num>
  <w:num w:numId="10">
    <w:abstractNumId w:val="6"/>
  </w:num>
  <w:num w:numId="11">
    <w:abstractNumId w:val="8"/>
  </w:num>
  <w:num w:numId="12">
    <w:abstractNumId w:val="14"/>
  </w:num>
  <w:num w:numId="13">
    <w:abstractNumId w:val="0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02854"/>
    <w:rsid w:val="00064A21"/>
    <w:rsid w:val="00092B2A"/>
    <w:rsid w:val="000B53CC"/>
    <w:rsid w:val="0010203C"/>
    <w:rsid w:val="00102854"/>
    <w:rsid w:val="00104E02"/>
    <w:rsid w:val="001C487B"/>
    <w:rsid w:val="00325400"/>
    <w:rsid w:val="00356F53"/>
    <w:rsid w:val="003B1BE2"/>
    <w:rsid w:val="003F3E6C"/>
    <w:rsid w:val="004015D2"/>
    <w:rsid w:val="00487A42"/>
    <w:rsid w:val="004A1BBA"/>
    <w:rsid w:val="004A61F2"/>
    <w:rsid w:val="00537FA7"/>
    <w:rsid w:val="00542747"/>
    <w:rsid w:val="00552699"/>
    <w:rsid w:val="005B19D9"/>
    <w:rsid w:val="006073A7"/>
    <w:rsid w:val="00635493"/>
    <w:rsid w:val="006D62CC"/>
    <w:rsid w:val="006E387B"/>
    <w:rsid w:val="00702F15"/>
    <w:rsid w:val="00743EC5"/>
    <w:rsid w:val="0077183D"/>
    <w:rsid w:val="00874D9B"/>
    <w:rsid w:val="00895436"/>
    <w:rsid w:val="008A1B92"/>
    <w:rsid w:val="00954D7E"/>
    <w:rsid w:val="00994107"/>
    <w:rsid w:val="009C394A"/>
    <w:rsid w:val="009D2B11"/>
    <w:rsid w:val="00A21099"/>
    <w:rsid w:val="00A2661A"/>
    <w:rsid w:val="00A56C59"/>
    <w:rsid w:val="00A85F84"/>
    <w:rsid w:val="00AC641D"/>
    <w:rsid w:val="00AE747E"/>
    <w:rsid w:val="00AE75E0"/>
    <w:rsid w:val="00B56B9B"/>
    <w:rsid w:val="00B80BBC"/>
    <w:rsid w:val="00B95FE1"/>
    <w:rsid w:val="00C43441"/>
    <w:rsid w:val="00C9539E"/>
    <w:rsid w:val="00CB14BA"/>
    <w:rsid w:val="00CB2FAB"/>
    <w:rsid w:val="00CB6F40"/>
    <w:rsid w:val="00CF61FD"/>
    <w:rsid w:val="00D64033"/>
    <w:rsid w:val="00E10423"/>
    <w:rsid w:val="00E27D7C"/>
    <w:rsid w:val="00E567D5"/>
    <w:rsid w:val="00E63C69"/>
    <w:rsid w:val="00E84A4E"/>
    <w:rsid w:val="00F36AEB"/>
    <w:rsid w:val="00F56EEE"/>
    <w:rsid w:val="00FE1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30B168"/>
  <w15:docId w15:val="{0C78E0D4-1917-4F71-9B89-1F62EC5DE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1">
    <w:name w:val="heading 1"/>
    <w:basedOn w:val="a"/>
    <w:next w:val="a"/>
    <w:link w:val="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2">
    <w:name w:val="heading 2"/>
    <w:basedOn w:val="a"/>
    <w:next w:val="a"/>
    <w:link w:val="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Char">
    <w:name w:val="Κείμενο πλαισίου Char"/>
    <w:link w:val="a3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2Char">
    <w:name w:val="Επικεφαλίδα 2 Char"/>
    <w:link w:val="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1Char">
    <w:name w:val="Επικεφαλίδα 1 Char"/>
    <w:link w:val="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Web">
    <w:name w:val="Normal (Web)"/>
    <w:basedOn w:val="a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a4">
    <w:name w:val="Table Grid"/>
    <w:basedOn w:val="a1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953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437</Words>
  <Characters>2361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ευτυχία</cp:lastModifiedBy>
  <cp:revision>8</cp:revision>
  <dcterms:created xsi:type="dcterms:W3CDTF">2016-05-17T16:57:00Z</dcterms:created>
  <dcterms:modified xsi:type="dcterms:W3CDTF">2016-11-29T18:40:00Z</dcterms:modified>
</cp:coreProperties>
</file>