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5714"/>
      </w:tblGrid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BF4F7D" w:rsidRDefault="00BF4F7D" w:rsidP="00E835D0">
            <w:pPr>
              <w:rPr>
                <w:b/>
                <w:lang w:val="el-GR"/>
              </w:rPr>
            </w:pPr>
            <w:r>
              <w:rPr>
                <w:lang w:val="el-GR"/>
              </w:rPr>
              <w:t>Εργασία πεδίου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D25DD" w:rsidP="00E63C69">
            <w:r>
              <w:t>18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D25DD" w:rsidP="00E63C69">
            <w:r>
              <w:t>28 / 45</w:t>
            </w:r>
          </w:p>
        </w:tc>
      </w:tr>
      <w:tr w:rsidR="00AC641D" w:rsidRPr="003B1BE2" w:rsidTr="007B3C06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0D25DD" w:rsidRPr="00BF4F7D" w:rsidRDefault="000D25DD" w:rsidP="000D25DD">
            <w:pPr>
              <w:rPr>
                <w:lang w:val="el-GR"/>
              </w:rPr>
            </w:pPr>
            <w:r w:rsidRPr="00BF4F7D">
              <w:rPr>
                <w:lang w:val="el-GR"/>
              </w:rPr>
              <w:t>-</w:t>
            </w:r>
            <w:r w:rsidR="00BF4F7D">
              <w:rPr>
                <w:lang w:val="el-GR"/>
              </w:rPr>
              <w:t xml:space="preserve"> Παρακολούθηση ενέργειας</w:t>
            </w:r>
          </w:p>
          <w:p w:rsidR="000D25DD" w:rsidRPr="00BF4F7D" w:rsidRDefault="000D25DD" w:rsidP="000D25D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 w:rsidR="00BF4F7D">
              <w:rPr>
                <w:lang w:val="el-GR"/>
              </w:rPr>
              <w:t>Ενεργειακή πολιτική</w:t>
            </w:r>
          </w:p>
          <w:p w:rsidR="000D25DD" w:rsidRPr="00BF4F7D" w:rsidRDefault="000D25DD" w:rsidP="000D25D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 w:rsidR="00BF4F7D">
              <w:rPr>
                <w:lang w:val="el-GR"/>
              </w:rPr>
              <w:t>Πλάνο διαχείρισης ενέργειας</w:t>
            </w:r>
          </w:p>
          <w:p w:rsidR="000D25DD" w:rsidRPr="00BF4F7D" w:rsidRDefault="000D25DD" w:rsidP="000D25D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 w:rsidR="00BF4F7D">
              <w:rPr>
                <w:lang w:val="el-GR"/>
              </w:rPr>
              <w:t>Ομάδα διαχείρισης ενέργειας</w:t>
            </w:r>
          </w:p>
          <w:p w:rsidR="000D25DD" w:rsidRPr="00BF4F7D" w:rsidRDefault="000D25DD" w:rsidP="000D25D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 w:rsidR="00BF4F7D">
              <w:rPr>
                <w:lang w:val="el-GR"/>
              </w:rPr>
              <w:t>Λειτουργικοί έλεγχοι</w:t>
            </w:r>
          </w:p>
          <w:p w:rsidR="000D25DD" w:rsidRPr="00BF4F7D" w:rsidRDefault="000D25DD" w:rsidP="000D25D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 w:rsidR="00BF4F7D">
              <w:rPr>
                <w:lang w:val="el-GR"/>
              </w:rPr>
              <w:t>Βάση ενέργειας</w:t>
            </w:r>
          </w:p>
          <w:p w:rsidR="000D25DD" w:rsidRPr="00BF4F7D" w:rsidRDefault="000D25DD" w:rsidP="000D25D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 w:rsidR="00BF4F7D">
              <w:rPr>
                <w:lang w:val="el-GR"/>
              </w:rPr>
              <w:t>Δείκτες Ενεργειακής Απόδοσης (ΔΕΑ)</w:t>
            </w:r>
          </w:p>
          <w:p w:rsidR="000D25DD" w:rsidRPr="00BF4F7D" w:rsidRDefault="000D25DD" w:rsidP="000D25D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 w:rsidR="00BF4F7D">
              <w:rPr>
                <w:lang w:val="el-GR"/>
              </w:rPr>
              <w:t>Ενεργειακοί στόχοι</w:t>
            </w:r>
          </w:p>
          <w:p w:rsidR="000D25DD" w:rsidRPr="00BF4F7D" w:rsidRDefault="000D25DD" w:rsidP="000D25D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 w:rsidR="00BF4F7D">
              <w:rPr>
                <w:lang w:val="el-GR"/>
              </w:rPr>
              <w:t>Ενεργειακά πλάνα ενεργειών</w:t>
            </w:r>
          </w:p>
          <w:p w:rsidR="00E63C69" w:rsidRPr="00BF4F7D" w:rsidRDefault="000D25DD" w:rsidP="00BF4F7D">
            <w:pPr>
              <w:rPr>
                <w:b/>
                <w:lang w:val="el-GR"/>
              </w:rPr>
            </w:pPr>
            <w:r>
              <w:t xml:space="preserve">- </w:t>
            </w:r>
            <w:r w:rsidR="00BF4F7D">
              <w:rPr>
                <w:lang w:val="el-GR"/>
              </w:rPr>
              <w:t>Πλαίσιο μεταφοράς γνώσης</w:t>
            </w:r>
          </w:p>
        </w:tc>
      </w:tr>
      <w:tr w:rsidR="00AC641D" w:rsidRPr="00BF4F7D" w:rsidTr="007B3C06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BF4F7D" w:rsidRDefault="00BF4F7D" w:rsidP="00BF4F7D">
            <w:pPr>
              <w:rPr>
                <w:lang w:val="el-GR"/>
              </w:rPr>
            </w:pPr>
            <w:r>
              <w:rPr>
                <w:lang w:val="el-GR"/>
              </w:rPr>
              <w:t>Χρησιμοποίηση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όλου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υλικού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που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καλύφθηκε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στις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ενότητες</w:t>
            </w:r>
            <w:r w:rsidRPr="00BF4F7D">
              <w:rPr>
                <w:lang w:val="el-GR"/>
              </w:rPr>
              <w:t xml:space="preserve"> </w:t>
            </w:r>
            <w:r w:rsidR="000D25DD" w:rsidRPr="00BF4F7D">
              <w:rPr>
                <w:lang w:val="el-GR"/>
              </w:rPr>
              <w:t>1,</w:t>
            </w:r>
            <w:r>
              <w:rPr>
                <w:lang w:val="el-GR"/>
              </w:rPr>
              <w:t xml:space="preserve"> </w:t>
            </w:r>
            <w:r w:rsidR="000D25DD" w:rsidRPr="00BF4F7D">
              <w:rPr>
                <w:lang w:val="el-GR"/>
              </w:rPr>
              <w:t xml:space="preserve">2 &amp; 3 </w:t>
            </w:r>
            <w:r>
              <w:rPr>
                <w:lang w:val="el-GR"/>
              </w:rPr>
              <w:t>για την ανάπτυξη ενός ΣΔΕ σε ένα δεδομένο οργανισμό</w:t>
            </w:r>
          </w:p>
        </w:tc>
      </w:tr>
      <w:tr w:rsidR="004A61F2" w:rsidRPr="00BF4F7D" w:rsidTr="007B3C06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BF4F7D" w:rsidRPr="00BF4F7D" w:rsidRDefault="00BF4F7D" w:rsidP="000D25DD">
            <w:r>
              <w:rPr>
                <w:lang w:val="el-GR"/>
              </w:rPr>
              <w:t>Οι</w:t>
            </w:r>
            <w:r w:rsidRPr="004C18C2">
              <w:t xml:space="preserve"> </w:t>
            </w:r>
            <w:r>
              <w:rPr>
                <w:lang w:val="el-GR"/>
              </w:rPr>
              <w:t>εκπαιδευόμενοι</w:t>
            </w:r>
            <w:r w:rsidRPr="004C18C2">
              <w:t xml:space="preserve"> </w:t>
            </w:r>
            <w:r>
              <w:rPr>
                <w:lang w:val="el-GR"/>
              </w:rPr>
              <w:t>θα</w:t>
            </w:r>
            <w:r>
              <w:t>:</w:t>
            </w:r>
          </w:p>
          <w:p w:rsidR="00575DC1" w:rsidRPr="00BF4F7D" w:rsidRDefault="00BF4F7D" w:rsidP="00BF4F7D">
            <w:pPr>
              <w:rPr>
                <w:lang w:val="el-GR"/>
              </w:rPr>
            </w:pPr>
            <w:r>
              <w:rPr>
                <w:lang w:val="el-GR"/>
              </w:rPr>
              <w:t>Μπορούν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εφαρμόσουν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ότι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διδάχθηκαν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κατά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διάρκεια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προγράμματος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εκπαίδευσης</w:t>
            </w:r>
            <w:r w:rsidRPr="00BF4F7D">
              <w:rPr>
                <w:lang w:val="el-GR"/>
              </w:rPr>
              <w:t xml:space="preserve"> </w:t>
            </w:r>
            <w:r w:rsidR="000D25DD">
              <w:t>IV</w:t>
            </w:r>
            <w:r w:rsidR="000D25DD"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σε μία πραγματική περίσταση</w:t>
            </w:r>
            <w:r w:rsidR="000D25DD" w:rsidRPr="00BF4F7D">
              <w:rPr>
                <w:lang w:val="el-GR"/>
              </w:rPr>
              <w:t>.</w:t>
            </w: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7B3C06" w:rsidRPr="007B3C06" w:rsidRDefault="00BF4F7D" w:rsidP="000D25DD">
            <w:r>
              <w:rPr>
                <w:lang w:val="el-GR"/>
              </w:rPr>
              <w:t>Παρουσίαση σε ηλεκτρονική μορφή</w:t>
            </w: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0D25DD" w:rsidRPr="00BF4F7D" w:rsidRDefault="00BF4F7D" w:rsidP="000D25DD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  <w:t>Έγγραφα</w:t>
            </w:r>
          </w:p>
          <w:p w:rsidR="000D25DD" w:rsidRPr="000D25DD" w:rsidRDefault="00B97A9D" w:rsidP="000D25DD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Style w:val="-"/>
                <w:rFonts w:ascii="Calibri" w:hAnsi="Calibri" w:cs="Arial"/>
                <w:iCs/>
                <w:sz w:val="24"/>
                <w:szCs w:val="24"/>
              </w:rPr>
            </w:pPr>
            <w:hyperlink r:id="rId6" w:history="1">
              <w:r w:rsidR="000D25DD" w:rsidRPr="000D25D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ISO 50001 Case Study - Aviva Stadium</w:t>
              </w:r>
            </w:hyperlink>
          </w:p>
          <w:p w:rsidR="000D25DD" w:rsidRPr="000D25DD" w:rsidRDefault="00B97A9D" w:rsidP="000D25DD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Style w:val="-"/>
                <w:rFonts w:ascii="Calibri" w:hAnsi="Calibri" w:cs="Arial"/>
                <w:iCs/>
                <w:sz w:val="24"/>
                <w:szCs w:val="24"/>
              </w:rPr>
            </w:pPr>
            <w:hyperlink r:id="rId7" w:history="1">
              <w:r w:rsidR="000D25DD" w:rsidRPr="000D25D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Simulation to Support ISO 50001 Energy Management systems and Fault Detection and Diagnosis: Case Study of Malpensa Airport, CONFERENCE PAPER · AUGUST 2013</w:t>
              </w:r>
            </w:hyperlink>
          </w:p>
          <w:p w:rsidR="00784179" w:rsidRPr="000D25DD" w:rsidRDefault="00B97A9D" w:rsidP="000D25DD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color w:val="0000FF" w:themeColor="hyperlink"/>
                <w:u w:val="single"/>
              </w:rPr>
            </w:pPr>
            <w:hyperlink r:id="rId8" w:history="1">
              <w:r w:rsidR="000D25DD" w:rsidRPr="000D25D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Energy Management in Large Enterprises: A Field Study</w:t>
              </w:r>
            </w:hyperlink>
            <w:bookmarkStart w:id="0" w:name="_GoBack"/>
            <w:bookmarkEnd w:id="0"/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0D25DD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BF4F7D" w:rsidTr="007B3C06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BF4F7D" w:rsidRDefault="00BF4F7D" w:rsidP="00BF4F7D">
            <w:pPr>
              <w:rPr>
                <w:lang w:val="el-GR"/>
              </w:rPr>
            </w:pPr>
            <w:r>
              <w:rPr>
                <w:lang w:val="el-GR"/>
              </w:rPr>
              <w:t>Εργασία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που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οι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εκπαιδευόμενοι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κληθούν</w:t>
            </w:r>
            <w:r w:rsidRPr="00BF4F7D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BF4F7D">
              <w:rPr>
                <w:lang w:val="el-GR"/>
              </w:rPr>
              <w:t xml:space="preserve"> </w:t>
            </w:r>
            <w:r w:rsidRPr="00D97C02">
              <w:rPr>
                <w:lang w:val="el-GR"/>
              </w:rPr>
              <w:t>παράγ</w:t>
            </w:r>
            <w:r>
              <w:rPr>
                <w:lang w:val="el-GR"/>
              </w:rPr>
              <w:t>ουν</w:t>
            </w:r>
            <w:r w:rsidRPr="00D97C02">
              <w:rPr>
                <w:lang w:val="el-GR"/>
              </w:rPr>
              <w:t xml:space="preserve"> τα απαραίτητα έγγραφα, </w:t>
            </w:r>
            <w:r>
              <w:rPr>
                <w:lang w:val="el-GR"/>
              </w:rPr>
              <w:t xml:space="preserve">τις </w:t>
            </w:r>
            <w:r w:rsidRPr="00D97C02">
              <w:rPr>
                <w:lang w:val="el-GR"/>
              </w:rPr>
              <w:t xml:space="preserve">εκθέσεις ανάλυσης, </w:t>
            </w:r>
            <w:r>
              <w:rPr>
                <w:lang w:val="el-GR"/>
              </w:rPr>
              <w:t xml:space="preserve">τα </w:t>
            </w:r>
            <w:r w:rsidRPr="00D97C02">
              <w:rPr>
                <w:lang w:val="el-GR"/>
              </w:rPr>
              <w:t xml:space="preserve">εργαλεία παρακολούθησης, τα πλαίσια της μεταφοράς γνώσης και τα </w:t>
            </w:r>
            <w:r>
              <w:rPr>
                <w:lang w:val="el-GR"/>
              </w:rPr>
              <w:t>χρονοδιαγράμματα</w:t>
            </w:r>
            <w:r w:rsidRPr="00D97C02">
              <w:rPr>
                <w:lang w:val="el-GR"/>
              </w:rPr>
              <w:t xml:space="preserve"> για την υλοποίηση μιας δομής </w:t>
            </w:r>
            <w:r>
              <w:rPr>
                <w:lang w:val="el-GR"/>
              </w:rPr>
              <w:t>ΣΔΕ</w:t>
            </w:r>
            <w:r w:rsidRPr="00D97C02">
              <w:rPr>
                <w:lang w:val="el-GR"/>
              </w:rPr>
              <w:t xml:space="preserve"> μέσα στο σχολείο.</w:t>
            </w:r>
          </w:p>
        </w:tc>
      </w:tr>
      <w:tr w:rsidR="00064A21" w:rsidRPr="003B1BE2" w:rsidTr="007B3C06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BF4F7D" w:rsidRDefault="00BF4F7D" w:rsidP="00BF4F7D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Στο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τέλος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αυτής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εκπαιδευτικής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μονάδας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εκπαιδευόμενοι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θα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μπορούν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να εφαρμόσουν τα ακόλουθα:</w:t>
            </w:r>
          </w:p>
          <w:p w:rsidR="00BF4F7D" w:rsidRPr="00BF4F7D" w:rsidRDefault="00BF4F7D" w:rsidP="00BF4F7D">
            <w:pPr>
              <w:rPr>
                <w:lang w:val="el-GR"/>
              </w:rPr>
            </w:pPr>
            <w:r w:rsidRPr="00BF4F7D">
              <w:rPr>
                <w:lang w:val="el-GR"/>
              </w:rPr>
              <w:t>-</w:t>
            </w:r>
            <w:r>
              <w:rPr>
                <w:lang w:val="el-GR"/>
              </w:rPr>
              <w:t xml:space="preserve"> Παρακολούθηση ενέργειας</w:t>
            </w:r>
          </w:p>
          <w:p w:rsidR="00BF4F7D" w:rsidRPr="00BF4F7D" w:rsidRDefault="00BF4F7D" w:rsidP="00BF4F7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>
              <w:rPr>
                <w:lang w:val="el-GR"/>
              </w:rPr>
              <w:t>Ενεργειακή πολιτική</w:t>
            </w:r>
          </w:p>
          <w:p w:rsidR="00BF4F7D" w:rsidRPr="00BF4F7D" w:rsidRDefault="00BF4F7D" w:rsidP="00BF4F7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>
              <w:rPr>
                <w:lang w:val="el-GR"/>
              </w:rPr>
              <w:t>Πλάνο διαχείρισης ενέργειας</w:t>
            </w:r>
          </w:p>
          <w:p w:rsidR="00BF4F7D" w:rsidRPr="00BF4F7D" w:rsidRDefault="00BF4F7D" w:rsidP="00BF4F7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>
              <w:rPr>
                <w:lang w:val="el-GR"/>
              </w:rPr>
              <w:t>Ομάδα διαχείρισης ενέργειας</w:t>
            </w:r>
          </w:p>
          <w:p w:rsidR="00BF4F7D" w:rsidRPr="00BF4F7D" w:rsidRDefault="00BF4F7D" w:rsidP="00BF4F7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>
              <w:rPr>
                <w:lang w:val="el-GR"/>
              </w:rPr>
              <w:t>Λειτουργικοί έλεγχοι</w:t>
            </w:r>
          </w:p>
          <w:p w:rsidR="00BF4F7D" w:rsidRPr="00BF4F7D" w:rsidRDefault="00BF4F7D" w:rsidP="00BF4F7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>
              <w:rPr>
                <w:lang w:val="el-GR"/>
              </w:rPr>
              <w:t>Βάση ενέργειας</w:t>
            </w:r>
          </w:p>
          <w:p w:rsidR="00BF4F7D" w:rsidRPr="00BF4F7D" w:rsidRDefault="00BF4F7D" w:rsidP="00BF4F7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>
              <w:rPr>
                <w:lang w:val="el-GR"/>
              </w:rPr>
              <w:t>Δείκτες Ενεργειακής Απόδοσης (ΔΕΑ)</w:t>
            </w:r>
          </w:p>
          <w:p w:rsidR="00BF4F7D" w:rsidRPr="00BF4F7D" w:rsidRDefault="00BF4F7D" w:rsidP="00BF4F7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>
              <w:rPr>
                <w:lang w:val="el-GR"/>
              </w:rPr>
              <w:t>Ενεργειακοί στόχοι</w:t>
            </w:r>
          </w:p>
          <w:p w:rsidR="00BF4F7D" w:rsidRPr="00BF4F7D" w:rsidRDefault="00BF4F7D" w:rsidP="00BF4F7D">
            <w:pPr>
              <w:rPr>
                <w:lang w:val="el-GR"/>
              </w:rPr>
            </w:pPr>
            <w:r w:rsidRPr="00BF4F7D">
              <w:rPr>
                <w:lang w:val="el-GR"/>
              </w:rPr>
              <w:t xml:space="preserve">- </w:t>
            </w:r>
            <w:r>
              <w:rPr>
                <w:lang w:val="el-GR"/>
              </w:rPr>
              <w:t>Ενεργειακά πλάνα ενεργειών</w:t>
            </w:r>
          </w:p>
          <w:p w:rsidR="00AE75E0" w:rsidRPr="000D25DD" w:rsidRDefault="00BF4F7D" w:rsidP="00BF4F7D">
            <w:pPr>
              <w:rPr>
                <w:rFonts w:cs="Arial"/>
                <w:iCs/>
                <w:szCs w:val="24"/>
              </w:rPr>
            </w:pPr>
            <w:r w:rsidRPr="00BF4F7D">
              <w:rPr>
                <w:lang w:val="el-GR"/>
              </w:rPr>
              <w:t xml:space="preserve">- </w:t>
            </w:r>
            <w:r>
              <w:rPr>
                <w:lang w:val="el-GR"/>
              </w:rPr>
              <w:t>Πλαίσιο μεταφοράς γνώσης</w:t>
            </w:r>
          </w:p>
        </w:tc>
      </w:tr>
      <w:tr w:rsidR="006D62CC" w:rsidRPr="003B1BE2" w:rsidTr="007B3C0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BF4F7D" w:rsidP="00E27D7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της εργασίας</w:t>
            </w:r>
          </w:p>
        </w:tc>
      </w:tr>
    </w:tbl>
    <w:p w:rsidR="00102854" w:rsidRDefault="00102854" w:rsidP="00465D23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6D62"/>
    <w:multiLevelType w:val="hybridMultilevel"/>
    <w:tmpl w:val="2864DA3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B3FC8"/>
    <w:multiLevelType w:val="hybridMultilevel"/>
    <w:tmpl w:val="60C018C8"/>
    <w:lvl w:ilvl="0" w:tplc="3766D57A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611A5"/>
    <w:multiLevelType w:val="hybridMultilevel"/>
    <w:tmpl w:val="4A18E4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652508A5"/>
    <w:multiLevelType w:val="hybridMultilevel"/>
    <w:tmpl w:val="778CA79C"/>
    <w:lvl w:ilvl="0" w:tplc="691019B4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D4BA1"/>
    <w:multiLevelType w:val="hybridMultilevel"/>
    <w:tmpl w:val="2F9612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81B97"/>
    <w:multiLevelType w:val="hybridMultilevel"/>
    <w:tmpl w:val="D24E8BF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6B6BC4"/>
    <w:multiLevelType w:val="hybridMultilevel"/>
    <w:tmpl w:val="FCAE39B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51A56"/>
    <w:multiLevelType w:val="hybridMultilevel"/>
    <w:tmpl w:val="361ACB7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02854"/>
    <w:rsid w:val="00064A21"/>
    <w:rsid w:val="000B0EFD"/>
    <w:rsid w:val="000B53CC"/>
    <w:rsid w:val="000D25DD"/>
    <w:rsid w:val="00102854"/>
    <w:rsid w:val="00104E02"/>
    <w:rsid w:val="001C5A44"/>
    <w:rsid w:val="00325400"/>
    <w:rsid w:val="00356F53"/>
    <w:rsid w:val="003B1BE2"/>
    <w:rsid w:val="00465D23"/>
    <w:rsid w:val="00485521"/>
    <w:rsid w:val="00487A42"/>
    <w:rsid w:val="004A61F2"/>
    <w:rsid w:val="004B4A0C"/>
    <w:rsid w:val="0052453A"/>
    <w:rsid w:val="00537FA7"/>
    <w:rsid w:val="00542747"/>
    <w:rsid w:val="00575DC1"/>
    <w:rsid w:val="005B19D9"/>
    <w:rsid w:val="006D62CC"/>
    <w:rsid w:val="0077183D"/>
    <w:rsid w:val="00784179"/>
    <w:rsid w:val="007B3C06"/>
    <w:rsid w:val="00835F46"/>
    <w:rsid w:val="00841C04"/>
    <w:rsid w:val="008A1B92"/>
    <w:rsid w:val="009D2B11"/>
    <w:rsid w:val="00A21099"/>
    <w:rsid w:val="00AC641D"/>
    <w:rsid w:val="00AE75E0"/>
    <w:rsid w:val="00B56B9B"/>
    <w:rsid w:val="00B80BBC"/>
    <w:rsid w:val="00B95FE1"/>
    <w:rsid w:val="00B97A9D"/>
    <w:rsid w:val="00BF4F7D"/>
    <w:rsid w:val="00C43441"/>
    <w:rsid w:val="00CB2FAB"/>
    <w:rsid w:val="00CF61FD"/>
    <w:rsid w:val="00E27D7C"/>
    <w:rsid w:val="00E63C69"/>
    <w:rsid w:val="00E835D0"/>
    <w:rsid w:val="00F061AA"/>
    <w:rsid w:val="00F36AEB"/>
    <w:rsid w:val="00F56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72"/>
    <w:qFormat/>
    <w:rsid w:val="00575DC1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7B3C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75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C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4?preview=%5B4.4.004%5D+CEL09-01-EM-in-Large-Enterprises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dropbox.com/home/EPOQUE%20project/epoque_o5/Course%20IV/Module%204?preview=%5B4.4.003%5D+Malpensa_airport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pulse/iso-5001-case-study-aviva-stadium-adam-faughnan?trk=seokp_posts_primary_cluster_res_title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6F07A-3901-4837-9AEB-9A56CF7DE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331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5</cp:revision>
  <dcterms:created xsi:type="dcterms:W3CDTF">2016-04-14T10:01:00Z</dcterms:created>
  <dcterms:modified xsi:type="dcterms:W3CDTF">2016-08-05T10:47:00Z</dcterms:modified>
</cp:coreProperties>
</file>